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F74B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方正小标宋简体" w:hAnsi="方正小标宋简体" w:eastAsia="方正小标宋简体" w:cs="方正小标宋简体"/>
          <w:b w:val="0"/>
          <w:bCs/>
          <w:sz w:val="48"/>
          <w:szCs w:val="48"/>
          <w:lang w:val="en-US"/>
        </w:rPr>
      </w:pPr>
      <w:bookmarkStart w:id="0" w:name="_Hlk104817781"/>
      <w:r>
        <w:rPr>
          <w:rFonts w:hint="eastAsia" w:ascii="方正小标宋简体" w:hAnsi="方正小标宋简体" w:eastAsia="方正小标宋简体" w:cs="方正小标宋简体"/>
          <w:b w:val="0"/>
          <w:bCs/>
          <w:sz w:val="48"/>
          <w:szCs w:val="48"/>
          <w:lang w:val="en-US" w:eastAsia="zh-CN"/>
        </w:rPr>
        <w:t>金平昆钢金河有限责任公司马鞍山1#排土场砌筑790m-830m左岸截洪沟、沉砂池及</w:t>
      </w:r>
      <w:r>
        <w:rPr>
          <w:rFonts w:hint="eastAsia" w:ascii="方正小标宋简体" w:hAnsi="方正小标宋简体" w:eastAsia="方正小标宋简体" w:cs="方正小标宋简体"/>
          <w:b w:val="0"/>
          <w:bCs/>
          <w:sz w:val="48"/>
          <w:szCs w:val="48"/>
          <w:lang w:val="en-US" w:eastAsia="zh-CN"/>
        </w:rPr>
        <w:br w:type="textWrapping"/>
      </w:r>
      <w:r>
        <w:rPr>
          <w:rFonts w:hint="eastAsia" w:ascii="方正小标宋简体" w:hAnsi="方正小标宋简体" w:eastAsia="方正小标宋简体" w:cs="方正小标宋简体"/>
          <w:b w:val="0"/>
          <w:bCs/>
          <w:sz w:val="48"/>
          <w:szCs w:val="48"/>
          <w:lang w:val="en-US" w:eastAsia="zh-CN"/>
        </w:rPr>
        <w:t>涵管埋设安全措施工程采购</w:t>
      </w:r>
    </w:p>
    <w:bookmarkEnd w:id="0"/>
    <w:p w14:paraId="4AB0F09B">
      <w:pPr>
        <w:snapToGrid w:val="0"/>
        <w:spacing w:line="360" w:lineRule="auto"/>
        <w:ind w:left="1867" w:leftChars="50" w:right="-108" w:rightChars="-54" w:hanging="1767" w:hangingChars="400"/>
        <w:jc w:val="center"/>
        <w:rPr>
          <w:rFonts w:ascii="方正小标宋_GBK" w:hAnsi="宋体" w:eastAsia="方正小标宋_GBK"/>
          <w:b/>
          <w:sz w:val="44"/>
          <w:szCs w:val="44"/>
        </w:rPr>
      </w:pPr>
    </w:p>
    <w:p w14:paraId="3EFC3441">
      <w:pPr>
        <w:snapToGrid w:val="0"/>
        <w:spacing w:line="360" w:lineRule="auto"/>
        <w:ind w:left="1860" w:leftChars="50" w:right="-108" w:rightChars="-54" w:hanging="1760" w:hangingChars="400"/>
        <w:jc w:val="center"/>
        <w:rPr>
          <w:rFonts w:hint="eastAsia" w:ascii="方正小标宋简体" w:hAnsi="方正小标宋简体" w:eastAsia="方正小标宋简体" w:cs="方正小标宋简体"/>
          <w:b w:val="0"/>
          <w:bCs/>
          <w:sz w:val="44"/>
          <w:szCs w:val="44"/>
        </w:rPr>
      </w:pPr>
    </w:p>
    <w:p w14:paraId="109D55D8">
      <w:pPr>
        <w:snapToGrid w:val="0"/>
        <w:spacing w:line="360" w:lineRule="auto"/>
        <w:ind w:left="1860" w:leftChars="50" w:right="-108" w:rightChars="-54" w:hanging="1760" w:hangingChars="400"/>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lang w:val="en-US" w:eastAsia="zh-CN"/>
        </w:rPr>
        <w:t>询价</w:t>
      </w:r>
      <w:r>
        <w:rPr>
          <w:rFonts w:hint="eastAsia" w:ascii="方正小标宋简体" w:hAnsi="方正小标宋简体" w:eastAsia="方正小标宋简体" w:cs="方正小标宋简体"/>
          <w:b w:val="0"/>
          <w:bCs/>
          <w:sz w:val="44"/>
          <w:szCs w:val="44"/>
        </w:rPr>
        <w:t>文件</w:t>
      </w:r>
    </w:p>
    <w:p w14:paraId="6CC0C252">
      <w:pPr>
        <w:snapToGrid w:val="0"/>
        <w:spacing w:line="360" w:lineRule="auto"/>
        <w:ind w:left="1380" w:leftChars="50" w:right="-108" w:rightChars="-54" w:hanging="1280" w:hangingChars="400"/>
        <w:jc w:val="center"/>
        <w:rPr>
          <w:rFonts w:hint="default" w:ascii="方正小标宋简体" w:hAnsi="方正小标宋简体" w:eastAsia="方正小标宋简体" w:cs="方正小标宋简体"/>
          <w:b w:val="0"/>
          <w:bCs/>
          <w:sz w:val="32"/>
          <w:szCs w:val="32"/>
          <w:lang w:val="en-US" w:eastAsia="zh-CN"/>
        </w:rPr>
      </w:pPr>
      <w:r>
        <w:rPr>
          <w:rFonts w:hint="eastAsia" w:ascii="方正小标宋简体" w:hAnsi="方正小标宋简体" w:eastAsia="方正小标宋简体" w:cs="方正小标宋简体"/>
          <w:b w:val="0"/>
          <w:bCs/>
          <w:sz w:val="32"/>
          <w:szCs w:val="32"/>
          <w:lang w:val="en-US" w:eastAsia="zh-CN"/>
        </w:rPr>
        <w:t>采购</w:t>
      </w:r>
      <w:r>
        <w:rPr>
          <w:rFonts w:hint="eastAsia" w:ascii="方正小标宋简体" w:hAnsi="方正小标宋简体" w:eastAsia="方正小标宋简体" w:cs="方正小标宋简体"/>
          <w:b w:val="0"/>
          <w:bCs/>
          <w:sz w:val="32"/>
          <w:szCs w:val="32"/>
        </w:rPr>
        <w:t>编号：JHGC2026002</w:t>
      </w:r>
    </w:p>
    <w:p w14:paraId="7E2D0428">
      <w:pPr>
        <w:tabs>
          <w:tab w:val="left" w:pos="567"/>
        </w:tabs>
        <w:snapToGrid w:val="0"/>
        <w:spacing w:line="360" w:lineRule="auto"/>
        <w:ind w:left="1064" w:leftChars="50" w:hanging="964" w:hangingChars="400"/>
        <w:jc w:val="center"/>
        <w:rPr>
          <w:rFonts w:ascii="宋体" w:hAnsi="宋体"/>
          <w:b/>
          <w:sz w:val="24"/>
          <w:szCs w:val="24"/>
        </w:rPr>
      </w:pPr>
    </w:p>
    <w:p w14:paraId="26F2A1A9">
      <w:pPr>
        <w:tabs>
          <w:tab w:val="left" w:pos="567"/>
        </w:tabs>
        <w:snapToGrid w:val="0"/>
        <w:spacing w:line="360" w:lineRule="auto"/>
        <w:ind w:left="1064" w:leftChars="50" w:hanging="964" w:hangingChars="400"/>
        <w:jc w:val="center"/>
        <w:rPr>
          <w:rFonts w:ascii="宋体" w:hAnsi="宋体"/>
          <w:b/>
          <w:sz w:val="24"/>
          <w:szCs w:val="24"/>
        </w:rPr>
      </w:pPr>
    </w:p>
    <w:p w14:paraId="5BD7D881">
      <w:pPr>
        <w:tabs>
          <w:tab w:val="left" w:pos="567"/>
        </w:tabs>
        <w:snapToGrid w:val="0"/>
        <w:spacing w:line="360" w:lineRule="auto"/>
        <w:ind w:left="1064" w:leftChars="50" w:hanging="964" w:hangingChars="400"/>
        <w:jc w:val="center"/>
        <w:rPr>
          <w:rFonts w:ascii="宋体" w:hAnsi="宋体"/>
          <w:b/>
          <w:sz w:val="24"/>
          <w:szCs w:val="24"/>
        </w:rPr>
      </w:pPr>
    </w:p>
    <w:p w14:paraId="556240DB">
      <w:pPr>
        <w:spacing w:line="360" w:lineRule="auto"/>
        <w:jc w:val="center"/>
        <w:rPr>
          <w:rFonts w:ascii="宋体" w:hAnsi="宋体"/>
          <w:b/>
          <w:sz w:val="24"/>
          <w:szCs w:val="24"/>
        </w:rPr>
      </w:pPr>
    </w:p>
    <w:p w14:paraId="21ED0BDD">
      <w:pPr>
        <w:spacing w:line="360" w:lineRule="auto"/>
        <w:jc w:val="center"/>
        <w:rPr>
          <w:rFonts w:ascii="宋体" w:hAnsi="宋体"/>
          <w:b/>
          <w:sz w:val="24"/>
          <w:szCs w:val="24"/>
        </w:rPr>
      </w:pPr>
    </w:p>
    <w:p w14:paraId="44480795">
      <w:pPr>
        <w:spacing w:line="360" w:lineRule="auto"/>
        <w:jc w:val="center"/>
        <w:rPr>
          <w:rFonts w:ascii="宋体" w:hAnsi="宋体"/>
          <w:b/>
          <w:sz w:val="24"/>
          <w:szCs w:val="24"/>
        </w:rPr>
      </w:pPr>
    </w:p>
    <w:p w14:paraId="36AF6ACE">
      <w:pPr>
        <w:spacing w:line="360" w:lineRule="auto"/>
        <w:jc w:val="center"/>
        <w:rPr>
          <w:rFonts w:ascii="宋体" w:hAnsi="宋体"/>
          <w:b/>
          <w:sz w:val="24"/>
          <w:szCs w:val="24"/>
        </w:rPr>
      </w:pPr>
    </w:p>
    <w:p w14:paraId="27E9F3CF">
      <w:pPr>
        <w:spacing w:line="360" w:lineRule="auto"/>
        <w:jc w:val="center"/>
        <w:rPr>
          <w:rFonts w:ascii="宋体" w:hAnsi="宋体"/>
          <w:b/>
          <w:sz w:val="24"/>
          <w:szCs w:val="24"/>
        </w:rPr>
      </w:pPr>
    </w:p>
    <w:p w14:paraId="05B7B74B">
      <w:pPr>
        <w:spacing w:line="360" w:lineRule="auto"/>
        <w:jc w:val="center"/>
        <w:rPr>
          <w:rFonts w:ascii="宋体" w:hAnsi="宋体"/>
          <w:b/>
          <w:sz w:val="24"/>
          <w:szCs w:val="24"/>
        </w:rPr>
      </w:pPr>
    </w:p>
    <w:p w14:paraId="7220AF8E">
      <w:pPr>
        <w:spacing w:line="360" w:lineRule="auto"/>
        <w:jc w:val="center"/>
        <w:rPr>
          <w:rFonts w:ascii="宋体" w:hAnsi="宋体"/>
          <w:b/>
          <w:sz w:val="24"/>
          <w:szCs w:val="24"/>
        </w:rPr>
      </w:pPr>
    </w:p>
    <w:p w14:paraId="4FE88005">
      <w:pPr>
        <w:spacing w:line="360" w:lineRule="auto"/>
        <w:jc w:val="center"/>
        <w:rPr>
          <w:rFonts w:ascii="宋体" w:hAnsi="宋体"/>
          <w:b/>
          <w:sz w:val="24"/>
          <w:szCs w:val="24"/>
        </w:rPr>
      </w:pPr>
    </w:p>
    <w:p w14:paraId="6BB6DC38">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方正小标宋简体" w:hAnsi="方正小标宋简体" w:eastAsia="方正小标宋简体" w:cs="方正小标宋简体"/>
          <w:bCs/>
          <w:sz w:val="32"/>
          <w:szCs w:val="32"/>
        </w:rPr>
      </w:pPr>
    </w:p>
    <w:p w14:paraId="53AAA412">
      <w:pPr>
        <w:keepNext w:val="0"/>
        <w:keepLines w:val="0"/>
        <w:pageBreakBefore w:val="0"/>
        <w:widowControl w:val="0"/>
        <w:tabs>
          <w:tab w:val="left" w:pos="567"/>
        </w:tabs>
        <w:kinsoku/>
        <w:wordWrap/>
        <w:overflowPunct/>
        <w:topLinePunct w:val="0"/>
        <w:autoSpaceDE/>
        <w:autoSpaceDN/>
        <w:bidi w:val="0"/>
        <w:adjustRightInd/>
        <w:snapToGrid w:val="0"/>
        <w:spacing w:line="240" w:lineRule="auto"/>
        <w:ind w:left="1380" w:leftChars="50" w:hanging="1280" w:hangingChars="400"/>
        <w:jc w:val="center"/>
        <w:textAlignment w:val="auto"/>
        <w:rPr>
          <w:rFonts w:hint="eastAsia" w:ascii="方正小标宋简体" w:hAnsi="方正小标宋简体" w:eastAsia="方正小标宋简体" w:cs="方正小标宋简体"/>
          <w:bCs/>
          <w:sz w:val="32"/>
          <w:szCs w:val="32"/>
          <w:lang w:eastAsia="zh-CN"/>
        </w:rPr>
      </w:pPr>
      <w:r>
        <w:rPr>
          <w:rFonts w:hint="eastAsia" w:ascii="方正小标宋简体" w:hAnsi="方正小标宋简体" w:eastAsia="方正小标宋简体" w:cs="方正小标宋简体"/>
          <w:bCs/>
          <w:sz w:val="32"/>
          <w:szCs w:val="32"/>
          <w:lang w:val="en-US" w:eastAsia="zh-CN"/>
        </w:rPr>
        <w:t>金平昆钢金河有限责任公司</w:t>
      </w:r>
    </w:p>
    <w:p w14:paraId="69E0497B">
      <w:pPr>
        <w:keepNext w:val="0"/>
        <w:keepLines w:val="0"/>
        <w:pageBreakBefore w:val="0"/>
        <w:widowControl w:val="0"/>
        <w:tabs>
          <w:tab w:val="left" w:pos="567"/>
        </w:tabs>
        <w:kinsoku/>
        <w:wordWrap/>
        <w:overflowPunct/>
        <w:topLinePunct w:val="0"/>
        <w:autoSpaceDE/>
        <w:autoSpaceDN/>
        <w:bidi w:val="0"/>
        <w:adjustRightInd/>
        <w:snapToGrid w:val="0"/>
        <w:spacing w:line="240" w:lineRule="auto"/>
        <w:ind w:left="1380" w:leftChars="50" w:hanging="1280" w:hangingChars="400"/>
        <w:jc w:val="center"/>
        <w:textAlignment w:val="auto"/>
        <w:rPr>
          <w:rFonts w:hint="eastAsia" w:ascii="方正小标宋简体" w:hAnsi="方正小标宋简体" w:eastAsia="方正小标宋简体" w:cs="方正小标宋简体"/>
          <w:bCs/>
          <w:sz w:val="32"/>
          <w:szCs w:val="32"/>
        </w:rPr>
        <w:sectPr>
          <w:footerReference r:id="rId5" w:type="first"/>
          <w:headerReference r:id="rId3" w:type="default"/>
          <w:footerReference r:id="rId4" w:type="even"/>
          <w:pgSz w:w="11906" w:h="16838"/>
          <w:pgMar w:top="1247" w:right="1247" w:bottom="1247" w:left="1418" w:header="851" w:footer="992" w:gutter="0"/>
          <w:pgNumType w:fmt="numberInDash" w:start="0"/>
          <w:cols w:space="720" w:num="1"/>
          <w:titlePg/>
          <w:docGrid w:type="lines" w:linePitch="312" w:charSpace="0"/>
        </w:sectPr>
      </w:pPr>
      <w:r>
        <w:rPr>
          <w:rFonts w:hint="eastAsia" w:ascii="方正小标宋简体" w:hAnsi="方正小标宋简体" w:eastAsia="方正小标宋简体" w:cs="方正小标宋简体"/>
          <w:bCs/>
          <w:sz w:val="32"/>
          <w:szCs w:val="32"/>
        </w:rPr>
        <w:t>202</w:t>
      </w:r>
      <w:r>
        <w:rPr>
          <w:rFonts w:hint="eastAsia" w:ascii="方正小标宋简体" w:hAnsi="方正小标宋简体" w:eastAsia="方正小标宋简体" w:cs="方正小标宋简体"/>
          <w:bCs/>
          <w:sz w:val="32"/>
          <w:szCs w:val="32"/>
          <w:lang w:val="en-US" w:eastAsia="zh-CN"/>
        </w:rPr>
        <w:t>6</w:t>
      </w:r>
      <w:r>
        <w:rPr>
          <w:rFonts w:hint="eastAsia" w:ascii="方正小标宋简体" w:hAnsi="方正小标宋简体" w:eastAsia="方正小标宋简体" w:cs="方正小标宋简体"/>
          <w:bCs/>
          <w:sz w:val="32"/>
          <w:szCs w:val="32"/>
        </w:rPr>
        <w:t>年</w:t>
      </w:r>
      <w:r>
        <w:rPr>
          <w:rFonts w:hint="eastAsia" w:ascii="方正小标宋简体" w:hAnsi="方正小标宋简体" w:eastAsia="方正小标宋简体" w:cs="方正小标宋简体"/>
          <w:bCs/>
          <w:sz w:val="32"/>
          <w:szCs w:val="32"/>
          <w:lang w:val="en-US" w:eastAsia="zh-CN"/>
        </w:rPr>
        <w:t>3</w:t>
      </w:r>
      <w:r>
        <w:rPr>
          <w:rFonts w:hint="eastAsia" w:ascii="方正小标宋简体" w:hAnsi="方正小标宋简体" w:eastAsia="方正小标宋简体" w:cs="方正小标宋简体"/>
          <w:bCs/>
          <w:sz w:val="32"/>
          <w:szCs w:val="32"/>
        </w:rPr>
        <w:t>月</w:t>
      </w:r>
      <w:r>
        <w:rPr>
          <w:rFonts w:hint="eastAsia" w:ascii="方正小标宋简体" w:hAnsi="方正小标宋简体" w:eastAsia="方正小标宋简体" w:cs="方正小标宋简体"/>
          <w:bCs/>
          <w:sz w:val="32"/>
          <w:szCs w:val="32"/>
        </w:rPr>
        <w:tab/>
      </w:r>
    </w:p>
    <w:p w14:paraId="410735F3">
      <w:pPr>
        <w:keepNext w:val="0"/>
        <w:keepLines w:val="0"/>
        <w:pageBreakBefore w:val="0"/>
        <w:widowControl/>
        <w:kinsoku w:val="0"/>
        <w:wordWrap/>
        <w:overflowPunct w:val="0"/>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Cs/>
          <w:spacing w:val="20"/>
          <w:kern w:val="2"/>
          <w:sz w:val="44"/>
          <w:szCs w:val="44"/>
        </w:rPr>
      </w:pPr>
      <w:r>
        <w:rPr>
          <w:rFonts w:hint="eastAsia" w:ascii="方正小标宋简体" w:hAnsi="方正小标宋简体" w:eastAsia="方正小标宋简体" w:cs="方正小标宋简体"/>
          <w:bCs/>
          <w:spacing w:val="20"/>
          <w:kern w:val="2"/>
          <w:sz w:val="44"/>
          <w:szCs w:val="44"/>
          <w:lang w:val="en-US" w:eastAsia="zh-CN"/>
        </w:rPr>
        <w:t>金平昆钢金河有限责任公司马鞍山1#排土场砌筑790m-830m左岸截洪沟、沉砂池</w:t>
      </w:r>
      <w:r>
        <w:rPr>
          <w:rFonts w:hint="eastAsia" w:ascii="方正小标宋简体" w:hAnsi="方正小标宋简体" w:eastAsia="方正小标宋简体" w:cs="方正小标宋简体"/>
          <w:bCs/>
          <w:spacing w:val="20"/>
          <w:kern w:val="2"/>
          <w:sz w:val="44"/>
          <w:szCs w:val="44"/>
          <w:lang w:val="en-US" w:eastAsia="zh-CN"/>
        </w:rPr>
        <w:br w:type="textWrapping"/>
      </w:r>
      <w:r>
        <w:rPr>
          <w:rFonts w:hint="eastAsia" w:ascii="方正小标宋简体" w:hAnsi="方正小标宋简体" w:eastAsia="方正小标宋简体" w:cs="方正小标宋简体"/>
          <w:bCs/>
          <w:spacing w:val="20"/>
          <w:kern w:val="2"/>
          <w:sz w:val="44"/>
          <w:szCs w:val="44"/>
          <w:lang w:val="en-US" w:eastAsia="zh-CN"/>
        </w:rPr>
        <w:t>及涵管埋设安全措施工程询价</w:t>
      </w:r>
      <w:r>
        <w:rPr>
          <w:rFonts w:hint="eastAsia" w:ascii="方正小标宋简体" w:hAnsi="方正小标宋简体" w:eastAsia="方正小标宋简体" w:cs="方正小标宋简体"/>
          <w:bCs/>
          <w:spacing w:val="20"/>
          <w:kern w:val="2"/>
          <w:sz w:val="44"/>
          <w:szCs w:val="44"/>
        </w:rPr>
        <w:t>文件</w:t>
      </w:r>
    </w:p>
    <w:p w14:paraId="261CA904">
      <w:pPr>
        <w:keepNext w:val="0"/>
        <w:keepLines w:val="0"/>
        <w:pageBreakBefore w:val="0"/>
        <w:widowControl/>
        <w:kinsoku w:val="0"/>
        <w:wordWrap/>
        <w:overflowPunct w:val="0"/>
        <w:topLinePunct w:val="0"/>
        <w:autoSpaceDE/>
        <w:autoSpaceDN/>
        <w:bidi w:val="0"/>
        <w:adjustRightInd/>
        <w:snapToGrid/>
        <w:spacing w:line="560" w:lineRule="exact"/>
        <w:jc w:val="center"/>
        <w:textAlignment w:val="auto"/>
        <w:rPr>
          <w:rFonts w:hint="eastAsia" w:ascii="仿宋_GB2312" w:hAnsi="仿宋_GB2312" w:eastAsia="仿宋_GB2312" w:cs="仿宋_GB2312"/>
          <w:bCs/>
          <w:sz w:val="32"/>
          <w:szCs w:val="32"/>
        </w:rPr>
      </w:pPr>
    </w:p>
    <w:p w14:paraId="0B6711E0">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一、项目基本情况</w:t>
      </w:r>
    </w:p>
    <w:p w14:paraId="18C3F902">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
          <w:bCs w:val="0"/>
          <w:sz w:val="32"/>
          <w:szCs w:val="32"/>
          <w:lang w:val="en-US" w:eastAsia="zh-CN"/>
        </w:rPr>
        <w:t>1.1</w:t>
      </w:r>
      <w:r>
        <w:rPr>
          <w:rFonts w:hint="eastAsia" w:ascii="仿宋_GB2312" w:hAnsi="仿宋_GB2312" w:eastAsia="仿宋_GB2312" w:cs="仿宋_GB2312"/>
          <w:b/>
          <w:bCs w:val="0"/>
          <w:sz w:val="32"/>
          <w:szCs w:val="32"/>
        </w:rPr>
        <w:t>采购主体</w:t>
      </w: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val="en-US" w:bidi="zh-CN"/>
        </w:rPr>
        <w:t>金平昆钢金河有限责任公司</w:t>
      </w:r>
    </w:p>
    <w:p w14:paraId="369538AF">
      <w:pPr>
        <w:keepNext w:val="0"/>
        <w:keepLines w:val="0"/>
        <w:pageBreakBefore w:val="0"/>
        <w:widowControl/>
        <w:wordWrap/>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
          <w:bCs/>
          <w:sz w:val="32"/>
          <w:szCs w:val="32"/>
          <w:lang w:val="en-US" w:eastAsia="zh-CN"/>
        </w:rPr>
        <w:t>1.2 项目名称</w:t>
      </w:r>
      <w:r>
        <w:rPr>
          <w:rFonts w:hint="eastAsia" w:ascii="仿宋_GB2312" w:hAnsi="仿宋_GB2312" w:eastAsia="仿宋_GB2312" w:cs="仿宋_GB2312"/>
          <w:b w:val="0"/>
          <w:bCs w:val="0"/>
          <w:sz w:val="32"/>
          <w:szCs w:val="32"/>
          <w:lang w:val="en-US" w:eastAsia="zh-CN"/>
        </w:rPr>
        <w:t>：金平昆钢金河有限责任公司马鞍山1#排土场砌筑790m-830m左岸截洪沟、沉砂池及涵管埋设安全措施工程</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bCs/>
          <w:sz w:val="32"/>
          <w:szCs w:val="32"/>
          <w:lang w:val="en-US" w:eastAsia="zh-CN"/>
        </w:rPr>
        <w:t>1.3项目</w:t>
      </w:r>
      <w:r>
        <w:rPr>
          <w:rFonts w:hint="eastAsia" w:ascii="仿宋_GB2312" w:hAnsi="仿宋_GB2312" w:eastAsia="仿宋_GB2312" w:cs="仿宋_GB2312"/>
          <w:b/>
          <w:bCs/>
          <w:caps w:val="0"/>
          <w:sz w:val="32"/>
          <w:szCs w:val="32"/>
          <w:lang w:val="en-US" w:eastAsia="zh-CN" w:bidi="ar-SA"/>
        </w:rPr>
        <w:t>实施地点</w:t>
      </w:r>
      <w:r>
        <w:rPr>
          <w:rFonts w:hint="eastAsia" w:ascii="仿宋_GB2312" w:hAnsi="仿宋_GB2312" w:eastAsia="仿宋_GB2312" w:cs="仿宋_GB2312"/>
          <w:b w:val="0"/>
          <w:bCs w:val="0"/>
          <w:caps w:val="0"/>
          <w:sz w:val="32"/>
          <w:szCs w:val="32"/>
          <w:lang w:val="en-US" w:eastAsia="zh-CN" w:bidi="ar-SA"/>
        </w:rPr>
        <w:t>：云南省</w:t>
      </w:r>
      <w:r>
        <w:rPr>
          <w:rFonts w:hint="eastAsia" w:ascii="仿宋_GB2312" w:hAnsi="仿宋_GB2312" w:eastAsia="仿宋_GB2312" w:cs="仿宋_GB2312"/>
          <w:b w:val="0"/>
          <w:bCs w:val="0"/>
          <w:sz w:val="32"/>
          <w:szCs w:val="32"/>
          <w:lang w:val="en-US" w:bidi="zh-CN"/>
        </w:rPr>
        <w:t>金平县勐桥乡</w:t>
      </w:r>
      <w:r>
        <w:rPr>
          <w:rFonts w:hint="eastAsia" w:ascii="仿宋_GB2312" w:hAnsi="仿宋_GB2312" w:eastAsia="仿宋_GB2312" w:cs="仿宋_GB2312"/>
          <w:b w:val="0"/>
          <w:bCs w:val="0"/>
          <w:sz w:val="32"/>
          <w:szCs w:val="32"/>
          <w:lang w:val="en-US" w:eastAsia="zh-CN" w:bidi="zh-CN"/>
        </w:rPr>
        <w:t>马鞍山铁矿</w:t>
      </w:r>
    </w:p>
    <w:p w14:paraId="7C68BCA6">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b w:val="0"/>
          <w:bCs/>
          <w:sz w:val="32"/>
          <w:szCs w:val="32"/>
          <w:lang w:val="en-US" w:eastAsia="zh-CN" w:bidi="zh-CN"/>
        </w:rPr>
      </w:pPr>
      <w:r>
        <w:rPr>
          <w:rFonts w:hint="eastAsia" w:ascii="黑体" w:hAnsi="黑体" w:eastAsia="黑体" w:cs="黑体"/>
          <w:b w:val="0"/>
          <w:bCs/>
          <w:sz w:val="32"/>
          <w:szCs w:val="32"/>
          <w:lang w:val="en-US" w:eastAsia="zh-CN" w:bidi="zh-CN"/>
        </w:rPr>
        <w:t>二、采购要求</w:t>
      </w:r>
    </w:p>
    <w:p w14:paraId="34264753">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bCs/>
          <w:sz w:val="32"/>
          <w:szCs w:val="32"/>
          <w:lang w:val="en-US" w:bidi="zh-CN"/>
        </w:rPr>
      </w:pPr>
      <w:r>
        <w:rPr>
          <w:rFonts w:hint="eastAsia" w:ascii="仿宋_GB2312" w:hAnsi="仿宋_GB2312" w:eastAsia="仿宋_GB2312" w:cs="仿宋_GB2312"/>
          <w:b/>
          <w:bCs w:val="0"/>
          <w:sz w:val="32"/>
          <w:szCs w:val="32"/>
          <w:lang w:val="en-US" w:eastAsia="zh-CN" w:bidi="zh-CN"/>
        </w:rPr>
        <w:t>2.1采购内容</w:t>
      </w:r>
      <w:r>
        <w:rPr>
          <w:rFonts w:hint="eastAsia" w:ascii="仿宋_GB2312" w:hAnsi="仿宋_GB2312" w:eastAsia="仿宋_GB2312" w:cs="仿宋_GB2312"/>
          <w:bCs/>
          <w:sz w:val="32"/>
          <w:szCs w:val="32"/>
          <w:lang w:val="en-US" w:eastAsia="zh-CN" w:bidi="zh-CN"/>
        </w:rPr>
        <w:t>：土方开挖、砌筑毛石截洪沟、砌筑毛石沉砂池、运矿道路铺设φ500mm钢筋混凝土涵管</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bCs/>
          <w:sz w:val="32"/>
          <w:szCs w:val="32"/>
          <w:lang w:val="en-US" w:eastAsia="zh-CN" w:bidi="zh-CN"/>
        </w:rPr>
        <w:t>具体详见附件1（金平昆钢金河有限责任公司马鞍山1#排土场砌筑790m-830m左岸截洪沟、沉砂池及涵管埋设安全措施工程工程量清单及图纸）。</w:t>
      </w:r>
    </w:p>
    <w:p w14:paraId="1FDF2EE7">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Cs/>
          <w:sz w:val="32"/>
          <w:szCs w:val="32"/>
          <w:lang w:val="en-US" w:eastAsia="zh-CN" w:bidi="zh-CN"/>
        </w:rPr>
      </w:pPr>
      <w:r>
        <w:rPr>
          <w:rFonts w:hint="eastAsia" w:ascii="仿宋_GB2312" w:hAnsi="仿宋_GB2312" w:eastAsia="仿宋_GB2312" w:cs="仿宋_GB2312"/>
          <w:b/>
          <w:bCs w:val="0"/>
          <w:sz w:val="32"/>
          <w:szCs w:val="32"/>
          <w:lang w:val="en-US" w:eastAsia="zh-CN" w:bidi="zh-CN"/>
        </w:rPr>
        <w:t>2.2工期</w:t>
      </w:r>
      <w:r>
        <w:rPr>
          <w:rFonts w:hint="eastAsia" w:ascii="仿宋_GB2312" w:hAnsi="仿宋_GB2312" w:eastAsia="仿宋_GB2312" w:cs="仿宋_GB2312"/>
          <w:bCs/>
          <w:sz w:val="32"/>
          <w:szCs w:val="32"/>
          <w:lang w:val="en-US" w:bidi="zh-CN"/>
        </w:rPr>
        <w:t>：合同签订后30天内</w:t>
      </w:r>
      <w:r>
        <w:rPr>
          <w:rFonts w:hint="eastAsia" w:ascii="仿宋_GB2312" w:hAnsi="仿宋_GB2312" w:eastAsia="仿宋_GB2312" w:cs="仿宋_GB2312"/>
          <w:bCs/>
          <w:sz w:val="32"/>
          <w:szCs w:val="32"/>
          <w:lang w:val="en-US" w:eastAsia="zh-CN" w:bidi="zh-CN"/>
        </w:rPr>
        <w:t>。</w:t>
      </w:r>
    </w:p>
    <w:p w14:paraId="2875F163">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Cs/>
          <w:sz w:val="32"/>
          <w:szCs w:val="32"/>
          <w:lang w:val="en-US" w:eastAsia="zh-CN" w:bidi="zh-CN"/>
        </w:rPr>
      </w:pPr>
      <w:r>
        <w:rPr>
          <w:rFonts w:hint="eastAsia" w:ascii="仿宋_GB2312" w:hAnsi="仿宋_GB2312" w:eastAsia="仿宋_GB2312" w:cs="仿宋_GB2312"/>
          <w:b/>
          <w:bCs w:val="0"/>
          <w:sz w:val="32"/>
          <w:szCs w:val="32"/>
          <w:lang w:val="en-US" w:eastAsia="zh-CN" w:bidi="zh-CN"/>
        </w:rPr>
        <w:t>2.3</w:t>
      </w:r>
      <w:r>
        <w:rPr>
          <w:rFonts w:hint="eastAsia" w:ascii="仿宋_GB2312" w:hAnsi="仿宋_GB2312" w:eastAsia="仿宋_GB2312" w:cs="仿宋_GB2312"/>
          <w:b/>
          <w:bCs w:val="0"/>
          <w:sz w:val="32"/>
          <w:szCs w:val="32"/>
          <w:lang w:val="en-US" w:bidi="zh-CN"/>
        </w:rPr>
        <w:t>工程质量要求</w:t>
      </w:r>
      <w:r>
        <w:rPr>
          <w:rFonts w:hint="eastAsia" w:ascii="仿宋_GB2312" w:hAnsi="仿宋_GB2312" w:eastAsia="仿宋_GB2312" w:cs="仿宋_GB2312"/>
          <w:bCs/>
          <w:sz w:val="32"/>
          <w:szCs w:val="32"/>
          <w:lang w:val="en-US" w:bidi="zh-CN"/>
        </w:rPr>
        <w:t>：执行现行国家、行业标准与规范</w:t>
      </w:r>
      <w:r>
        <w:rPr>
          <w:rFonts w:hint="eastAsia" w:ascii="仿宋_GB2312" w:hAnsi="仿宋_GB2312" w:eastAsia="仿宋_GB2312" w:cs="仿宋_GB2312"/>
          <w:bCs/>
          <w:sz w:val="32"/>
          <w:szCs w:val="32"/>
          <w:lang w:val="en-US" w:eastAsia="zh-CN" w:bidi="zh-CN"/>
        </w:rPr>
        <w:t>。</w:t>
      </w:r>
    </w:p>
    <w:p w14:paraId="6F73CB89">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val="0"/>
          <w:sz w:val="32"/>
          <w:szCs w:val="32"/>
          <w:lang w:val="en-US" w:eastAsia="zh-CN" w:bidi="zh-CN"/>
        </w:rPr>
      </w:pPr>
      <w:r>
        <w:rPr>
          <w:rFonts w:hint="eastAsia" w:ascii="仿宋_GB2312" w:hAnsi="仿宋_GB2312" w:eastAsia="仿宋_GB2312" w:cs="仿宋_GB2312"/>
          <w:b/>
          <w:bCs w:val="0"/>
          <w:sz w:val="32"/>
          <w:szCs w:val="32"/>
          <w:lang w:val="en-US" w:eastAsia="zh-CN" w:bidi="zh-CN"/>
        </w:rPr>
        <w:t>2.4 报价要求：</w:t>
      </w:r>
    </w:p>
    <w:p w14:paraId="7FB74401">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Cs/>
          <w:sz w:val="32"/>
          <w:szCs w:val="32"/>
          <w:lang w:val="en-US" w:eastAsia="zh-CN" w:bidi="zh-CN"/>
        </w:rPr>
      </w:pPr>
      <w:r>
        <w:rPr>
          <w:rFonts w:hint="eastAsia" w:ascii="仿宋_GB2312" w:hAnsi="仿宋_GB2312" w:eastAsia="仿宋_GB2312" w:cs="仿宋_GB2312"/>
          <w:bCs/>
          <w:sz w:val="32"/>
          <w:szCs w:val="32"/>
          <w:lang w:val="en-US" w:eastAsia="zh-CN" w:bidi="zh-CN"/>
        </w:rPr>
        <w:t>2.4.</w:t>
      </w:r>
      <w:r>
        <w:rPr>
          <w:rFonts w:hint="default" w:ascii="仿宋_GB2312" w:hAnsi="仿宋_GB2312" w:eastAsia="仿宋_GB2312" w:cs="仿宋_GB2312"/>
          <w:bCs/>
          <w:sz w:val="32"/>
          <w:szCs w:val="32"/>
          <w:lang w:val="en-US" w:eastAsia="zh-CN" w:bidi="zh-CN"/>
        </w:rPr>
        <w:t>1报价方式：报价为人民币含税价，报价以含税综合单价形式报价，包括但不限于用于此工程的人工费、施工机械机具费、辅材费、水电费、施工措施费、资料费、安全文明施工费、利润、税金及施工期间承包人应承担的各类风险费用。</w:t>
      </w:r>
    </w:p>
    <w:p w14:paraId="03ACAECD">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Cs/>
          <w:sz w:val="32"/>
          <w:szCs w:val="32"/>
          <w:highlight w:val="none"/>
          <w:lang w:val="en-US" w:eastAsia="zh-CN" w:bidi="zh-CN"/>
        </w:rPr>
      </w:pPr>
      <w:r>
        <w:rPr>
          <w:rFonts w:hint="eastAsia" w:ascii="仿宋_GB2312" w:hAnsi="仿宋_GB2312" w:eastAsia="仿宋_GB2312" w:cs="仿宋_GB2312"/>
          <w:bCs/>
          <w:sz w:val="32"/>
          <w:szCs w:val="32"/>
          <w:highlight w:val="none"/>
          <w:lang w:val="en-US" w:eastAsia="zh-CN" w:bidi="zh-CN"/>
        </w:rPr>
        <w:t>2.4.2</w:t>
      </w:r>
      <w:r>
        <w:rPr>
          <w:rFonts w:hint="default" w:ascii="仿宋_GB2312" w:hAnsi="仿宋_GB2312" w:eastAsia="仿宋_GB2312" w:cs="仿宋_GB2312"/>
          <w:bCs/>
          <w:sz w:val="32"/>
          <w:szCs w:val="32"/>
          <w:highlight w:val="none"/>
          <w:lang w:val="en-US" w:eastAsia="zh-CN" w:bidi="zh-CN"/>
        </w:rPr>
        <w:t>本次采购</w:t>
      </w:r>
      <w:r>
        <w:rPr>
          <w:rFonts w:hint="eastAsia" w:ascii="仿宋_GB2312" w:hAnsi="仿宋_GB2312" w:eastAsia="仿宋_GB2312" w:cs="仿宋_GB2312"/>
          <w:bCs/>
          <w:sz w:val="32"/>
          <w:szCs w:val="32"/>
          <w:highlight w:val="none"/>
          <w:lang w:val="en-US" w:eastAsia="zh-CN" w:bidi="zh-CN"/>
        </w:rPr>
        <w:t>通过</w:t>
      </w:r>
      <w:r>
        <w:rPr>
          <w:rFonts w:hint="default" w:ascii="仿宋_GB2312" w:hAnsi="仿宋_GB2312" w:eastAsia="仿宋_GB2312" w:cs="仿宋_GB2312"/>
          <w:bCs/>
          <w:sz w:val="32"/>
          <w:szCs w:val="32"/>
          <w:highlight w:val="none"/>
          <w:lang w:val="en-US" w:eastAsia="zh-CN" w:bidi="zh-CN"/>
        </w:rPr>
        <w:t>阳光平台网上询价</w:t>
      </w:r>
      <w:r>
        <w:rPr>
          <w:rFonts w:hint="eastAsia" w:ascii="仿宋_GB2312" w:hAnsi="仿宋_GB2312" w:eastAsia="仿宋_GB2312" w:cs="仿宋_GB2312"/>
          <w:bCs/>
          <w:sz w:val="32"/>
          <w:szCs w:val="32"/>
          <w:highlight w:val="none"/>
          <w:lang w:val="en-US" w:eastAsia="zh-CN" w:bidi="zh-CN"/>
        </w:rPr>
        <w:t>方式进行</w:t>
      </w:r>
      <w:r>
        <w:rPr>
          <w:rFonts w:hint="default" w:ascii="仿宋_GB2312" w:hAnsi="仿宋_GB2312" w:eastAsia="仿宋_GB2312" w:cs="仿宋_GB2312"/>
          <w:bCs/>
          <w:sz w:val="32"/>
          <w:szCs w:val="32"/>
          <w:highlight w:val="none"/>
          <w:lang w:val="en-US" w:eastAsia="zh-CN" w:bidi="zh-CN"/>
        </w:rPr>
        <w:t>，供应商仅允许提交一次报价，采购人仅接受唯一有效报价，多次报价将视为无效报价。</w:t>
      </w:r>
    </w:p>
    <w:p w14:paraId="1AB05461">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val="0"/>
          <w:sz w:val="32"/>
          <w:szCs w:val="32"/>
          <w:lang w:val="en-US" w:eastAsia="zh-CN" w:bidi="zh-CN"/>
        </w:rPr>
      </w:pPr>
      <w:r>
        <w:rPr>
          <w:rFonts w:hint="eastAsia" w:ascii="仿宋_GB2312" w:hAnsi="仿宋_GB2312" w:eastAsia="仿宋_GB2312" w:cs="仿宋_GB2312"/>
          <w:b/>
          <w:bCs w:val="0"/>
          <w:sz w:val="32"/>
          <w:szCs w:val="32"/>
          <w:lang w:val="en-US" w:eastAsia="zh-CN" w:bidi="zh-CN"/>
        </w:rPr>
        <w:t>2.5采购预算价：</w:t>
      </w:r>
    </w:p>
    <w:p w14:paraId="78054E4B">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sz w:val="32"/>
          <w:szCs w:val="32"/>
          <w:lang w:val="en-US" w:eastAsia="zh-CN" w:bidi="zh-CN"/>
        </w:rPr>
      </w:pPr>
      <w:r>
        <w:rPr>
          <w:rFonts w:hint="eastAsia" w:ascii="仿宋_GB2312" w:hAnsi="仿宋_GB2312" w:eastAsia="仿宋_GB2312" w:cs="仿宋_GB2312"/>
          <w:bCs/>
          <w:sz w:val="32"/>
          <w:szCs w:val="32"/>
          <w:lang w:val="en-US" w:eastAsia="zh-CN" w:bidi="zh-CN"/>
        </w:rPr>
        <w:t>人民币120000.00元（大写：壹拾贰万元整）。响应人报价应在采购预算价以内，否则视为无效报价。</w:t>
      </w:r>
    </w:p>
    <w:p w14:paraId="6329D4B2">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bCs/>
          <w:sz w:val="32"/>
          <w:szCs w:val="32"/>
          <w:lang w:val="en-US" w:eastAsia="zh-CN" w:bidi="zh-CN"/>
        </w:rPr>
      </w:pPr>
      <w:r>
        <w:rPr>
          <w:rFonts w:hint="eastAsia" w:ascii="黑体" w:hAnsi="黑体" w:eastAsia="黑体" w:cs="黑体"/>
          <w:bCs/>
          <w:sz w:val="32"/>
          <w:szCs w:val="32"/>
          <w:lang w:val="en-US" w:eastAsia="zh-CN" w:bidi="zh-CN"/>
        </w:rPr>
        <w:t>三、供应商资格条件</w:t>
      </w:r>
    </w:p>
    <w:p w14:paraId="31B1A78F">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3.1</w:t>
      </w:r>
      <w:r>
        <w:rPr>
          <w:rFonts w:hint="default" w:ascii="仿宋_GB2312" w:hAnsi="仿宋_GB2312" w:eastAsia="仿宋_GB2312" w:cs="仿宋_GB2312"/>
          <w:bCs/>
          <w:sz w:val="32"/>
          <w:szCs w:val="32"/>
          <w:lang w:val="en-US" w:eastAsia="zh-CN"/>
        </w:rPr>
        <w:t>注册并审核通过成为“e交易”认证会员。</w:t>
      </w:r>
    </w:p>
    <w:p w14:paraId="4C6B215C">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3.2</w:t>
      </w:r>
      <w:r>
        <w:rPr>
          <w:rFonts w:hint="default" w:ascii="仿宋_GB2312" w:hAnsi="仿宋_GB2312" w:eastAsia="仿宋_GB2312" w:cs="仿宋_GB2312"/>
          <w:bCs/>
          <w:sz w:val="32"/>
          <w:szCs w:val="32"/>
          <w:lang w:val="en-US" w:eastAsia="zh-CN"/>
        </w:rPr>
        <w:t>不允许以自然人（个人）身份报名。</w:t>
      </w:r>
    </w:p>
    <w:p w14:paraId="35BC9D8D">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3.3</w:t>
      </w:r>
      <w:r>
        <w:rPr>
          <w:rFonts w:hint="default" w:ascii="仿宋_GB2312" w:hAnsi="仿宋_GB2312" w:eastAsia="仿宋_GB2312" w:cs="仿宋_GB2312"/>
          <w:bCs/>
          <w:sz w:val="32"/>
          <w:szCs w:val="32"/>
          <w:lang w:val="en-US" w:eastAsia="zh-CN"/>
        </w:rPr>
        <w:t>具有良好的商业信誉和健全的财务会计制度;资产运营良好，不存在因借贷担保等可能影响投标人履行本招标项目的情况，具有良好的经营业绩，有提供优质服务的能力。</w:t>
      </w:r>
    </w:p>
    <w:p w14:paraId="77D428F7">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3.4报价</w:t>
      </w:r>
      <w:r>
        <w:rPr>
          <w:rFonts w:hint="default" w:ascii="仿宋_GB2312" w:hAnsi="仿宋_GB2312" w:eastAsia="仿宋_GB2312" w:cs="仿宋_GB2312"/>
          <w:bCs/>
          <w:sz w:val="32"/>
          <w:szCs w:val="32"/>
          <w:lang w:val="en-US" w:eastAsia="zh-CN"/>
        </w:rPr>
        <w:t>人</w:t>
      </w:r>
      <w:r>
        <w:rPr>
          <w:rFonts w:hint="eastAsia" w:ascii="仿宋_GB2312" w:hAnsi="仿宋_GB2312" w:eastAsia="仿宋_GB2312" w:cs="仿宋_GB2312"/>
          <w:bCs/>
          <w:sz w:val="32"/>
          <w:szCs w:val="32"/>
          <w:lang w:val="en-US" w:eastAsia="zh-CN"/>
        </w:rPr>
        <w:t>须为在中国境内依法设立、具备独立企业法人资格，具备建设行政主管部门颁发的矿山工程施工总承包叁级及以上资质的施工企业及安全生产许可证，并为本工程配备安全生产管理人员</w:t>
      </w:r>
      <w:r>
        <w:rPr>
          <w:rFonts w:hint="default" w:ascii="仿宋_GB2312" w:hAnsi="仿宋_GB2312" w:eastAsia="仿宋_GB2312" w:cs="仿宋_GB2312"/>
          <w:bCs/>
          <w:sz w:val="32"/>
          <w:szCs w:val="32"/>
          <w:lang w:val="en-US" w:eastAsia="zh-CN"/>
        </w:rPr>
        <w:t>。</w:t>
      </w:r>
    </w:p>
    <w:p w14:paraId="0D2A45F2">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3.5报价人未被国家企业信用信息公示系统(www.gsxt.gov.cn)列入严重违法失信企业名单。</w:t>
      </w:r>
    </w:p>
    <w:p w14:paraId="6BD88F60">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3.6 报价人未被“信用中国”网站(www.creditchina.gov.cn)列入失信被执行人名单。</w:t>
      </w:r>
    </w:p>
    <w:p w14:paraId="69DF6C03">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3.7报价人未被昆钢公司、采购人列入禁止交易名单。</w:t>
      </w:r>
    </w:p>
    <w:p w14:paraId="723534AC">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3.8单位负责人为同一人或者存在控股、管理关系的不同单位，不得同时参加项目报价。</w:t>
      </w:r>
    </w:p>
    <w:p w14:paraId="6120852E">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3.</w:t>
      </w:r>
      <w:r>
        <w:rPr>
          <w:rFonts w:hint="eastAsia" w:ascii="仿宋_GB2312" w:hAnsi="仿宋_GB2312" w:eastAsia="仿宋_GB2312" w:cs="仿宋_GB2312"/>
          <w:bCs/>
          <w:sz w:val="32"/>
          <w:szCs w:val="32"/>
          <w:lang w:val="en-US" w:eastAsia="zh-CN"/>
        </w:rPr>
        <w:t>9</w:t>
      </w:r>
      <w:r>
        <w:rPr>
          <w:rFonts w:hint="default" w:ascii="仿宋_GB2312" w:hAnsi="仿宋_GB2312" w:eastAsia="仿宋_GB2312" w:cs="仿宋_GB2312"/>
          <w:bCs/>
          <w:sz w:val="32"/>
          <w:szCs w:val="32"/>
          <w:lang w:val="en-US" w:eastAsia="zh-CN"/>
        </w:rPr>
        <w:t>本次</w:t>
      </w:r>
      <w:r>
        <w:rPr>
          <w:rFonts w:hint="eastAsia" w:ascii="仿宋_GB2312" w:hAnsi="仿宋_GB2312" w:eastAsia="仿宋_GB2312" w:cs="仿宋_GB2312"/>
          <w:bCs/>
          <w:sz w:val="32"/>
          <w:szCs w:val="32"/>
          <w:lang w:val="en-US" w:eastAsia="zh-CN"/>
        </w:rPr>
        <w:t>询价</w:t>
      </w:r>
      <w:r>
        <w:rPr>
          <w:rFonts w:hint="default" w:ascii="仿宋_GB2312" w:hAnsi="仿宋_GB2312" w:eastAsia="仿宋_GB2312" w:cs="仿宋_GB2312"/>
          <w:bCs/>
          <w:sz w:val="32"/>
          <w:szCs w:val="32"/>
          <w:lang w:val="en-US" w:eastAsia="zh-CN"/>
        </w:rPr>
        <w:t>不接受联合体</w:t>
      </w:r>
      <w:r>
        <w:rPr>
          <w:rFonts w:hint="eastAsia" w:ascii="仿宋_GB2312" w:hAnsi="仿宋_GB2312" w:eastAsia="仿宋_GB2312" w:cs="仿宋_GB2312"/>
          <w:bCs/>
          <w:sz w:val="32"/>
          <w:szCs w:val="32"/>
          <w:lang w:val="en-US" w:eastAsia="zh-CN"/>
        </w:rPr>
        <w:t>报价</w:t>
      </w:r>
      <w:r>
        <w:rPr>
          <w:rFonts w:hint="default" w:ascii="仿宋_GB2312" w:hAnsi="仿宋_GB2312" w:eastAsia="仿宋_GB2312" w:cs="仿宋_GB2312"/>
          <w:bCs/>
          <w:sz w:val="32"/>
          <w:szCs w:val="32"/>
          <w:lang w:val="en-US" w:eastAsia="zh-CN"/>
        </w:rPr>
        <w:t>。</w:t>
      </w:r>
    </w:p>
    <w:p w14:paraId="673E8F40">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bidi="zh-CN"/>
        </w:rPr>
        <w:t>3.10本项目不允许分包及转包。</w:t>
      </w:r>
    </w:p>
    <w:p w14:paraId="616C9B83">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default" w:ascii="黑体" w:hAnsi="黑体" w:eastAsia="黑体" w:cs="黑体"/>
          <w:bCs/>
          <w:sz w:val="32"/>
          <w:szCs w:val="32"/>
          <w:lang w:val="en-US" w:eastAsia="zh-CN" w:bidi="zh-CN"/>
        </w:rPr>
      </w:pPr>
      <w:r>
        <w:rPr>
          <w:rFonts w:hint="default" w:ascii="黑体" w:hAnsi="黑体" w:eastAsia="黑体" w:cs="黑体"/>
          <w:bCs/>
          <w:sz w:val="32"/>
          <w:szCs w:val="32"/>
          <w:lang w:val="en-US" w:eastAsia="zh-CN" w:bidi="zh-CN"/>
        </w:rPr>
        <w:t xml:space="preserve"> </w:t>
      </w:r>
      <w:r>
        <w:rPr>
          <w:rFonts w:hint="eastAsia" w:ascii="黑体" w:hAnsi="黑体" w:eastAsia="黑体" w:cs="黑体"/>
          <w:bCs/>
          <w:sz w:val="32"/>
          <w:szCs w:val="32"/>
          <w:lang w:val="en-US" w:eastAsia="zh-CN" w:bidi="zh-CN"/>
        </w:rPr>
        <w:t>四</w:t>
      </w:r>
      <w:r>
        <w:rPr>
          <w:rFonts w:hint="default" w:ascii="黑体" w:hAnsi="黑体" w:eastAsia="黑体" w:cs="黑体"/>
          <w:bCs/>
          <w:sz w:val="32"/>
          <w:szCs w:val="32"/>
          <w:lang w:val="en-US" w:eastAsia="zh-CN" w:bidi="zh-CN"/>
        </w:rPr>
        <w:t>、合同支付条款</w:t>
      </w:r>
    </w:p>
    <w:p w14:paraId="23BA788E">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本项目无预付款</w:t>
      </w:r>
      <w:r>
        <w:rPr>
          <w:rFonts w:hint="eastAsia" w:ascii="仿宋_GB2312" w:hAnsi="仿宋_GB2312" w:eastAsia="仿宋_GB2312" w:cs="仿宋_GB2312"/>
          <w:bCs/>
          <w:sz w:val="32"/>
          <w:szCs w:val="32"/>
          <w:lang w:val="en-US" w:eastAsia="zh-CN"/>
        </w:rPr>
        <w:t>，项目</w:t>
      </w:r>
      <w:r>
        <w:rPr>
          <w:rFonts w:hint="default" w:ascii="仿宋_GB2312" w:hAnsi="仿宋_GB2312" w:eastAsia="仿宋_GB2312" w:cs="仿宋_GB2312"/>
          <w:bCs/>
          <w:sz w:val="32"/>
          <w:szCs w:val="32"/>
          <w:lang w:val="en-US" w:eastAsia="zh-CN"/>
        </w:rPr>
        <w:t>完工验收合格结算</w:t>
      </w:r>
      <w:r>
        <w:rPr>
          <w:rFonts w:hint="eastAsia" w:ascii="仿宋_GB2312" w:hAnsi="仿宋_GB2312" w:eastAsia="仿宋_GB2312" w:cs="仿宋_GB2312"/>
          <w:bCs/>
          <w:sz w:val="32"/>
          <w:szCs w:val="32"/>
          <w:lang w:val="en-US" w:eastAsia="zh-CN"/>
        </w:rPr>
        <w:t>后</w:t>
      </w:r>
      <w:r>
        <w:rPr>
          <w:rFonts w:hint="default" w:ascii="仿宋_GB2312" w:hAnsi="仿宋_GB2312" w:eastAsia="仿宋_GB2312" w:cs="仿宋_GB2312"/>
          <w:bCs/>
          <w:sz w:val="32"/>
          <w:szCs w:val="32"/>
          <w:lang w:val="en-US" w:eastAsia="zh-CN"/>
        </w:rPr>
        <w:t>，甲方收到乙方发票后于次月起扣留质保金后开始支付至半年内支付完成。</w:t>
      </w:r>
    </w:p>
    <w:p w14:paraId="2C8CE9EA">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default" w:ascii="黑体" w:hAnsi="黑体" w:eastAsia="黑体" w:cs="黑体"/>
          <w:bCs/>
          <w:sz w:val="32"/>
          <w:szCs w:val="32"/>
          <w:lang w:val="en-US" w:eastAsia="zh-CN" w:bidi="zh-CN"/>
        </w:rPr>
      </w:pPr>
      <w:r>
        <w:rPr>
          <w:rFonts w:hint="eastAsia" w:ascii="黑体" w:hAnsi="黑体" w:eastAsia="黑体" w:cs="黑体"/>
          <w:bCs/>
          <w:sz w:val="32"/>
          <w:szCs w:val="32"/>
          <w:lang w:val="en-US" w:eastAsia="zh-CN" w:bidi="zh-CN"/>
        </w:rPr>
        <w:t>五</w:t>
      </w:r>
      <w:r>
        <w:rPr>
          <w:rFonts w:hint="default" w:ascii="黑体" w:hAnsi="黑体" w:eastAsia="黑体" w:cs="黑体"/>
          <w:bCs/>
          <w:sz w:val="32"/>
          <w:szCs w:val="32"/>
          <w:lang w:val="en-US" w:eastAsia="zh-CN" w:bidi="zh-CN"/>
        </w:rPr>
        <w:t>、评审标准及内容</w:t>
      </w:r>
    </w:p>
    <w:p w14:paraId="425C6BD8">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default" w:ascii="仿宋_GB2312" w:hAnsi="仿宋_GB2312" w:eastAsia="仿宋_GB2312" w:cs="仿宋_GB2312"/>
          <w:bCs/>
          <w:sz w:val="32"/>
          <w:szCs w:val="32"/>
          <w:lang w:val="en-US" w:eastAsia="zh-CN"/>
        </w:rPr>
        <w:t>本次采购采用低价</w:t>
      </w:r>
      <w:r>
        <w:rPr>
          <w:rFonts w:hint="eastAsia" w:ascii="仿宋_GB2312" w:hAnsi="仿宋_GB2312" w:eastAsia="仿宋_GB2312" w:cs="仿宋_GB2312"/>
          <w:bCs/>
          <w:sz w:val="32"/>
          <w:szCs w:val="32"/>
          <w:lang w:val="en-US" w:eastAsia="zh-CN"/>
        </w:rPr>
        <w:t>成交</w:t>
      </w:r>
      <w:r>
        <w:rPr>
          <w:rFonts w:hint="default" w:ascii="仿宋_GB2312" w:hAnsi="仿宋_GB2312" w:eastAsia="仿宋_GB2312" w:cs="仿宋_GB2312"/>
          <w:bCs/>
          <w:sz w:val="32"/>
          <w:szCs w:val="32"/>
          <w:lang w:val="en-US" w:eastAsia="zh-CN"/>
        </w:rPr>
        <w:t>原则。</w:t>
      </w:r>
    </w:p>
    <w:p w14:paraId="30290560">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jc w:val="both"/>
        <w:textAlignment w:val="auto"/>
        <w:rPr>
          <w:rFonts w:hint="default" w:ascii="仿宋_GB2312" w:hAnsi="仿宋_GB2312" w:eastAsia="仿宋_GB2312" w:cs="仿宋_GB2312"/>
          <w:bCs/>
          <w:color w:val="auto"/>
          <w:sz w:val="32"/>
          <w:szCs w:val="32"/>
          <w:highlight w:val="none"/>
          <w:lang w:val="en-US" w:eastAsia="zh-CN"/>
        </w:rPr>
      </w:pPr>
      <w:bookmarkStart w:id="1" w:name="_GoBack"/>
      <w:r>
        <w:rPr>
          <w:rFonts w:hint="eastAsia" w:ascii="仿宋_GB2312" w:hAnsi="仿宋_GB2312" w:eastAsia="仿宋_GB2312" w:cs="仿宋_GB2312"/>
          <w:b/>
          <w:bCs w:val="0"/>
          <w:color w:val="auto"/>
          <w:sz w:val="32"/>
          <w:szCs w:val="32"/>
          <w:highlight w:val="none"/>
          <w:lang w:val="en-US" w:eastAsia="zh-CN"/>
        </w:rPr>
        <w:t>5.1资格</w:t>
      </w:r>
      <w:r>
        <w:rPr>
          <w:rFonts w:hint="default" w:ascii="仿宋_GB2312" w:hAnsi="仿宋_GB2312" w:eastAsia="仿宋_GB2312" w:cs="仿宋_GB2312"/>
          <w:b/>
          <w:bCs w:val="0"/>
          <w:color w:val="auto"/>
          <w:sz w:val="32"/>
          <w:szCs w:val="32"/>
          <w:highlight w:val="none"/>
          <w:lang w:val="en-US" w:eastAsia="zh-CN"/>
        </w:rPr>
        <w:t>有效性审查：</w:t>
      </w:r>
      <w:r>
        <w:rPr>
          <w:rFonts w:hint="eastAsia" w:ascii="仿宋_GB2312" w:hAnsi="仿宋_GB2312" w:eastAsia="仿宋_GB2312" w:cs="仿宋_GB2312"/>
          <w:bCs/>
          <w:color w:val="auto"/>
          <w:sz w:val="32"/>
          <w:szCs w:val="32"/>
          <w:highlight w:val="none"/>
          <w:lang w:val="en-US" w:eastAsia="zh-CN"/>
        </w:rPr>
        <w:t>报价人</w:t>
      </w:r>
      <w:r>
        <w:rPr>
          <w:rFonts w:hint="default" w:ascii="仿宋_GB2312" w:hAnsi="仿宋_GB2312" w:eastAsia="仿宋_GB2312" w:cs="仿宋_GB2312"/>
          <w:bCs/>
          <w:color w:val="auto"/>
          <w:sz w:val="32"/>
          <w:szCs w:val="32"/>
          <w:highlight w:val="none"/>
          <w:lang w:val="en-US" w:eastAsia="zh-CN"/>
        </w:rPr>
        <w:t>必须完全满足询价文件的技术要求、</w:t>
      </w:r>
      <w:r>
        <w:rPr>
          <w:rFonts w:hint="eastAsia" w:ascii="仿宋_GB2312" w:hAnsi="仿宋_GB2312" w:eastAsia="仿宋_GB2312" w:cs="仿宋_GB2312"/>
          <w:bCs/>
          <w:color w:val="auto"/>
          <w:sz w:val="32"/>
          <w:szCs w:val="32"/>
          <w:highlight w:val="none"/>
          <w:lang w:val="en-US" w:eastAsia="zh-CN"/>
        </w:rPr>
        <w:t>服务期限、合同条款</w:t>
      </w:r>
      <w:r>
        <w:rPr>
          <w:rFonts w:hint="default" w:ascii="仿宋_GB2312" w:hAnsi="仿宋_GB2312" w:eastAsia="仿宋_GB2312" w:cs="仿宋_GB2312"/>
          <w:bCs/>
          <w:color w:val="auto"/>
          <w:sz w:val="32"/>
          <w:szCs w:val="32"/>
          <w:highlight w:val="none"/>
          <w:lang w:val="en-US" w:eastAsia="zh-CN"/>
        </w:rPr>
        <w:t>及</w:t>
      </w:r>
      <w:r>
        <w:rPr>
          <w:rFonts w:hint="eastAsia" w:ascii="仿宋_GB2312" w:hAnsi="仿宋_GB2312" w:eastAsia="仿宋_GB2312" w:cs="仿宋_GB2312"/>
          <w:bCs/>
          <w:color w:val="auto"/>
          <w:sz w:val="32"/>
          <w:szCs w:val="32"/>
          <w:highlight w:val="none"/>
          <w:lang w:val="en-US" w:eastAsia="zh-CN"/>
        </w:rPr>
        <w:t>合同</w:t>
      </w:r>
      <w:r>
        <w:rPr>
          <w:rFonts w:hint="default" w:ascii="仿宋_GB2312" w:hAnsi="仿宋_GB2312" w:eastAsia="仿宋_GB2312" w:cs="仿宋_GB2312"/>
          <w:bCs/>
          <w:color w:val="auto"/>
          <w:sz w:val="32"/>
          <w:szCs w:val="32"/>
          <w:highlight w:val="none"/>
          <w:lang w:val="en-US" w:eastAsia="zh-CN"/>
        </w:rPr>
        <w:t>支付</w:t>
      </w:r>
      <w:r>
        <w:rPr>
          <w:rFonts w:hint="eastAsia" w:ascii="仿宋_GB2312" w:hAnsi="仿宋_GB2312" w:eastAsia="仿宋_GB2312" w:cs="仿宋_GB2312"/>
          <w:bCs/>
          <w:color w:val="auto"/>
          <w:sz w:val="32"/>
          <w:szCs w:val="32"/>
          <w:highlight w:val="none"/>
          <w:lang w:val="en-US" w:eastAsia="zh-CN"/>
        </w:rPr>
        <w:t>等全部实质性</w:t>
      </w:r>
      <w:r>
        <w:rPr>
          <w:rFonts w:hint="default" w:ascii="仿宋_GB2312" w:hAnsi="仿宋_GB2312" w:eastAsia="仿宋_GB2312" w:cs="仿宋_GB2312"/>
          <w:bCs/>
          <w:color w:val="auto"/>
          <w:sz w:val="32"/>
          <w:szCs w:val="32"/>
          <w:highlight w:val="none"/>
          <w:lang w:val="en-US" w:eastAsia="zh-CN"/>
        </w:rPr>
        <w:t>要求，否则视为无效报价。</w:t>
      </w:r>
    </w:p>
    <w:p w14:paraId="756B08A6">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jc w:val="both"/>
        <w:textAlignment w:val="auto"/>
        <w:rPr>
          <w:rFonts w:hint="default"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
          <w:bCs w:val="0"/>
          <w:color w:val="auto"/>
          <w:sz w:val="32"/>
          <w:szCs w:val="32"/>
          <w:highlight w:val="none"/>
          <w:lang w:val="en-US" w:eastAsia="zh-CN"/>
        </w:rPr>
        <w:t>5.2</w:t>
      </w:r>
      <w:r>
        <w:rPr>
          <w:rFonts w:hint="default" w:ascii="仿宋_GB2312" w:hAnsi="仿宋_GB2312" w:eastAsia="仿宋_GB2312" w:cs="仿宋_GB2312"/>
          <w:b/>
          <w:bCs w:val="0"/>
          <w:color w:val="auto"/>
          <w:sz w:val="32"/>
          <w:szCs w:val="32"/>
          <w:highlight w:val="none"/>
          <w:lang w:val="en-US" w:eastAsia="zh-CN"/>
        </w:rPr>
        <w:t>价格评审：</w:t>
      </w:r>
      <w:r>
        <w:rPr>
          <w:rFonts w:hint="default" w:ascii="仿宋_GB2312" w:hAnsi="仿宋_GB2312" w:eastAsia="仿宋_GB2312" w:cs="仿宋_GB2312"/>
          <w:bCs/>
          <w:color w:val="auto"/>
          <w:sz w:val="32"/>
          <w:szCs w:val="32"/>
          <w:highlight w:val="none"/>
          <w:lang w:val="en-US" w:eastAsia="zh-CN"/>
        </w:rPr>
        <w:t>在</w:t>
      </w:r>
      <w:r>
        <w:rPr>
          <w:rFonts w:hint="eastAsia" w:ascii="仿宋_GB2312" w:hAnsi="仿宋_GB2312" w:eastAsia="仿宋_GB2312" w:cs="仿宋_GB2312"/>
          <w:bCs/>
          <w:color w:val="auto"/>
          <w:sz w:val="32"/>
          <w:szCs w:val="32"/>
          <w:highlight w:val="none"/>
          <w:lang w:val="en-US" w:eastAsia="zh-CN"/>
        </w:rPr>
        <w:t>通过资格有效性审查、完全</w:t>
      </w:r>
      <w:r>
        <w:rPr>
          <w:rFonts w:hint="default" w:ascii="仿宋_GB2312" w:hAnsi="仿宋_GB2312" w:eastAsia="仿宋_GB2312" w:cs="仿宋_GB2312"/>
          <w:bCs/>
          <w:color w:val="auto"/>
          <w:sz w:val="32"/>
          <w:szCs w:val="32"/>
          <w:highlight w:val="none"/>
          <w:lang w:val="en-US" w:eastAsia="zh-CN"/>
        </w:rPr>
        <w:t>满足全部实质性要求的前提下，报价最低者</w:t>
      </w:r>
      <w:r>
        <w:rPr>
          <w:rFonts w:hint="eastAsia" w:ascii="仿宋_GB2312" w:hAnsi="仿宋_GB2312" w:eastAsia="仿宋_GB2312" w:cs="仿宋_GB2312"/>
          <w:bCs/>
          <w:color w:val="auto"/>
          <w:sz w:val="32"/>
          <w:szCs w:val="32"/>
          <w:highlight w:val="none"/>
          <w:lang w:val="en-US" w:eastAsia="zh-CN"/>
        </w:rPr>
        <w:t>确定为中标供应商</w:t>
      </w:r>
      <w:r>
        <w:rPr>
          <w:rFonts w:hint="default" w:ascii="仿宋_GB2312" w:hAnsi="仿宋_GB2312" w:eastAsia="仿宋_GB2312" w:cs="仿宋_GB2312"/>
          <w:bCs/>
          <w:sz w:val="32"/>
          <w:szCs w:val="32"/>
          <w:highlight w:val="none"/>
          <w:lang w:val="en-US" w:eastAsia="zh-CN"/>
        </w:rPr>
        <w:t>。</w:t>
      </w:r>
    </w:p>
    <w:bookmarkEnd w:id="1"/>
    <w:p w14:paraId="2DF2239B">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default" w:ascii="黑体" w:hAnsi="黑体" w:eastAsia="黑体" w:cs="黑体"/>
          <w:bCs/>
          <w:sz w:val="32"/>
          <w:szCs w:val="32"/>
          <w:lang w:val="en-US" w:eastAsia="zh-CN" w:bidi="zh-CN"/>
        </w:rPr>
      </w:pPr>
      <w:r>
        <w:rPr>
          <w:rFonts w:hint="eastAsia" w:ascii="黑体" w:hAnsi="黑体" w:eastAsia="黑体" w:cs="黑体"/>
          <w:bCs/>
          <w:sz w:val="32"/>
          <w:szCs w:val="32"/>
          <w:lang w:val="en-US" w:eastAsia="zh-CN" w:bidi="zh-CN"/>
        </w:rPr>
        <w:t>六</w:t>
      </w:r>
      <w:r>
        <w:rPr>
          <w:rFonts w:hint="default" w:ascii="黑体" w:hAnsi="黑体" w:eastAsia="黑体" w:cs="黑体"/>
          <w:bCs/>
          <w:sz w:val="32"/>
          <w:szCs w:val="32"/>
          <w:lang w:val="en-US" w:eastAsia="zh-CN" w:bidi="zh-CN"/>
        </w:rPr>
        <w:t>、合同条款及格式</w:t>
      </w:r>
    </w:p>
    <w:p w14:paraId="1CB169D4">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详见附件2（金平昆钢金河有限责任公司</w:t>
      </w:r>
      <w:r>
        <w:rPr>
          <w:rFonts w:hint="eastAsia" w:ascii="仿宋_GB2312" w:hAnsi="仿宋_GB2312" w:eastAsia="仿宋_GB2312" w:cs="仿宋_GB2312"/>
          <w:bCs/>
          <w:sz w:val="32"/>
          <w:szCs w:val="32"/>
          <w:lang w:val="en-US" w:eastAsia="zh-CN" w:bidi="zh-CN"/>
        </w:rPr>
        <w:t>马鞍山1#排土场砌筑790m-830m左岸截洪沟、沉砂池及涵管埋设安全措施工程</w:t>
      </w:r>
      <w:r>
        <w:rPr>
          <w:rFonts w:hint="eastAsia" w:ascii="仿宋_GB2312" w:hAnsi="仿宋_GB2312" w:eastAsia="仿宋_GB2312" w:cs="仿宋_GB2312"/>
          <w:bCs/>
          <w:sz w:val="32"/>
          <w:szCs w:val="32"/>
          <w:lang w:val="en-US" w:eastAsia="zh-CN"/>
        </w:rPr>
        <w:t>施工合同）</w:t>
      </w:r>
    </w:p>
    <w:p w14:paraId="0E556143">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textAlignment w:val="auto"/>
        <w:rPr>
          <w:rFonts w:hint="default" w:ascii="黑体" w:hAnsi="黑体" w:eastAsia="黑体" w:cs="黑体"/>
          <w:bCs/>
          <w:sz w:val="32"/>
          <w:szCs w:val="32"/>
          <w:lang w:val="en-US" w:eastAsia="zh-CN" w:bidi="zh-CN"/>
        </w:rPr>
      </w:pPr>
      <w:r>
        <w:rPr>
          <w:rFonts w:hint="eastAsia" w:ascii="黑体" w:hAnsi="黑体" w:eastAsia="黑体" w:cs="黑体"/>
          <w:bCs/>
          <w:sz w:val="32"/>
          <w:szCs w:val="32"/>
          <w:lang w:val="en-US" w:eastAsia="zh-CN" w:bidi="zh-CN"/>
        </w:rPr>
        <w:t>七、</w:t>
      </w:r>
      <w:r>
        <w:rPr>
          <w:rFonts w:hint="default" w:ascii="黑体" w:hAnsi="黑体" w:eastAsia="黑体" w:cs="黑体"/>
          <w:bCs/>
          <w:sz w:val="32"/>
          <w:szCs w:val="32"/>
          <w:lang w:val="en-US" w:eastAsia="zh-CN" w:bidi="zh-CN"/>
        </w:rPr>
        <w:t>报价文件递交要求</w:t>
      </w:r>
    </w:p>
    <w:p w14:paraId="586431A3">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jc w:val="both"/>
        <w:textAlignment w:val="auto"/>
        <w:rPr>
          <w:rFonts w:hint="default" w:ascii="仿宋_GB2312" w:hAnsi="仿宋_GB2312" w:eastAsia="仿宋_GB2312" w:cs="仿宋_GB2312"/>
          <w:b/>
          <w:bCs w:val="0"/>
          <w:sz w:val="32"/>
          <w:szCs w:val="32"/>
          <w:lang w:val="en-US" w:eastAsia="zh-CN"/>
        </w:rPr>
      </w:pPr>
      <w:r>
        <w:rPr>
          <w:rFonts w:hint="eastAsia" w:ascii="仿宋_GB2312" w:hAnsi="仿宋_GB2312" w:eastAsia="仿宋_GB2312" w:cs="仿宋_GB2312"/>
          <w:b/>
          <w:bCs w:val="0"/>
          <w:sz w:val="32"/>
          <w:szCs w:val="32"/>
          <w:lang w:val="en-US" w:eastAsia="zh-CN"/>
        </w:rPr>
        <w:t>7.1</w:t>
      </w:r>
      <w:r>
        <w:rPr>
          <w:rFonts w:hint="default" w:ascii="仿宋_GB2312" w:hAnsi="仿宋_GB2312" w:eastAsia="仿宋_GB2312" w:cs="仿宋_GB2312"/>
          <w:b/>
          <w:bCs w:val="0"/>
          <w:sz w:val="32"/>
          <w:szCs w:val="32"/>
          <w:lang w:val="en-US" w:eastAsia="zh-CN"/>
        </w:rPr>
        <w:t>报价材料组成</w:t>
      </w:r>
    </w:p>
    <w:p w14:paraId="4BA41EB7">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7.1.1</w:t>
      </w:r>
      <w:r>
        <w:rPr>
          <w:rFonts w:hint="default" w:ascii="仿宋_GB2312" w:hAnsi="仿宋_GB2312" w:eastAsia="仿宋_GB2312" w:cs="仿宋_GB2312"/>
          <w:bCs/>
          <w:sz w:val="32"/>
          <w:szCs w:val="32"/>
          <w:lang w:val="en-US" w:eastAsia="zh-CN"/>
        </w:rPr>
        <w:t>报价</w:t>
      </w:r>
      <w:r>
        <w:rPr>
          <w:rFonts w:hint="eastAsia" w:ascii="仿宋_GB2312" w:hAnsi="仿宋_GB2312" w:eastAsia="仿宋_GB2312" w:cs="仿宋_GB2312"/>
          <w:bCs/>
          <w:sz w:val="32"/>
          <w:szCs w:val="32"/>
          <w:lang w:val="en-US" w:eastAsia="zh-CN"/>
        </w:rPr>
        <w:t>表</w:t>
      </w:r>
      <w:r>
        <w:rPr>
          <w:rFonts w:hint="default" w:ascii="仿宋_GB2312" w:hAnsi="仿宋_GB2312" w:eastAsia="仿宋_GB2312" w:cs="仿宋_GB2312"/>
          <w:bCs/>
          <w:sz w:val="32"/>
          <w:szCs w:val="32"/>
          <w:lang w:val="en-US" w:eastAsia="zh-CN"/>
        </w:rPr>
        <w:t>（见附件</w:t>
      </w:r>
      <w:r>
        <w:rPr>
          <w:rFonts w:hint="eastAsia"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en-US" w:eastAsia="zh-CN"/>
        </w:rPr>
        <w:t>），加盖印章。</w:t>
      </w:r>
    </w:p>
    <w:p w14:paraId="4C06A0D8">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7.1</w:t>
      </w:r>
      <w:r>
        <w:rPr>
          <w:rFonts w:hint="default" w:ascii="仿宋_GB2312" w:hAnsi="仿宋_GB2312" w:eastAsia="仿宋_GB2312" w:cs="仿宋_GB2312"/>
          <w:bCs/>
          <w:sz w:val="32"/>
          <w:szCs w:val="32"/>
          <w:lang w:val="en-US" w:eastAsia="zh-CN"/>
        </w:rPr>
        <w:t>.2报价单位加盖印章的资质证明材料，包括但不限于营业执照、安全生产许可证、开户许可证、法人身份证、资质证书、工程管理人员、技术人员证书等复印件。</w:t>
      </w:r>
    </w:p>
    <w:p w14:paraId="5488E1EE">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7.1</w:t>
      </w:r>
      <w:r>
        <w:rPr>
          <w:rFonts w:hint="default"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lang w:val="en-US" w:eastAsia="zh-CN"/>
        </w:rPr>
        <w:t>3</w:t>
      </w:r>
      <w:r>
        <w:rPr>
          <w:rFonts w:hint="default" w:ascii="仿宋_GB2312" w:hAnsi="仿宋_GB2312" w:eastAsia="仿宋_GB2312" w:cs="仿宋_GB2312"/>
          <w:bCs/>
          <w:sz w:val="32"/>
          <w:szCs w:val="32"/>
          <w:lang w:val="en-US" w:eastAsia="zh-CN"/>
        </w:rPr>
        <w:t>国家企业信用信息公示系统内未被列入“经营异常名录”和“严重违法失信名单（黑名单）”截图。</w:t>
      </w:r>
    </w:p>
    <w:p w14:paraId="31B32FD3">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7.1.4</w:t>
      </w:r>
      <w:r>
        <w:rPr>
          <w:rFonts w:hint="default" w:ascii="仿宋_GB2312" w:hAnsi="仿宋_GB2312" w:eastAsia="仿宋_GB2312" w:cs="仿宋_GB2312"/>
          <w:bCs/>
          <w:sz w:val="32"/>
          <w:szCs w:val="32"/>
          <w:lang w:val="en-US" w:eastAsia="zh-CN"/>
        </w:rPr>
        <w:t>报价</w:t>
      </w:r>
      <w:r>
        <w:rPr>
          <w:rFonts w:hint="eastAsia" w:ascii="仿宋_GB2312" w:hAnsi="仿宋_GB2312" w:eastAsia="仿宋_GB2312" w:cs="仿宋_GB2312"/>
          <w:bCs/>
          <w:sz w:val="32"/>
          <w:szCs w:val="32"/>
          <w:lang w:val="en-US" w:eastAsia="zh-CN"/>
        </w:rPr>
        <w:t>人</w:t>
      </w:r>
      <w:r>
        <w:rPr>
          <w:rFonts w:hint="default" w:ascii="仿宋_GB2312" w:hAnsi="仿宋_GB2312" w:eastAsia="仿宋_GB2312" w:cs="仿宋_GB2312"/>
          <w:bCs/>
          <w:sz w:val="32"/>
          <w:szCs w:val="32"/>
          <w:lang w:val="en-US" w:eastAsia="zh-CN"/>
        </w:rPr>
        <w:t>认为需要提交的其他材料（若有）。</w:t>
      </w:r>
    </w:p>
    <w:p w14:paraId="58D6BC0E">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val="0"/>
          <w:sz w:val="32"/>
          <w:szCs w:val="32"/>
          <w:lang w:val="en-US" w:eastAsia="zh-CN"/>
        </w:rPr>
      </w:pPr>
      <w:r>
        <w:rPr>
          <w:rFonts w:hint="eastAsia" w:ascii="仿宋_GB2312" w:hAnsi="仿宋_GB2312" w:eastAsia="仿宋_GB2312" w:cs="仿宋_GB2312"/>
          <w:b/>
          <w:bCs w:val="0"/>
          <w:sz w:val="32"/>
          <w:szCs w:val="32"/>
          <w:lang w:val="en-US" w:eastAsia="zh-CN"/>
        </w:rPr>
        <w:t>7.2联系方式</w:t>
      </w:r>
    </w:p>
    <w:p w14:paraId="2261B7B9">
      <w:pPr>
        <w:keepNext w:val="0"/>
        <w:keepLines w:val="0"/>
        <w:pageBreakBefore w:val="0"/>
        <w:widowControl/>
        <w:tabs>
          <w:tab w:val="left" w:pos="360"/>
        </w:tabs>
        <w:kinsoku w:val="0"/>
        <w:wordWrap/>
        <w:overflowPunct w:val="0"/>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报价联系人：王永康（13888015451)；项目咨询联系人：卢老友（15987793364）。</w:t>
      </w:r>
    </w:p>
    <w:p w14:paraId="1888E176">
      <w:pPr>
        <w:pStyle w:val="3"/>
        <w:keepNext w:val="0"/>
        <w:keepLines w:val="0"/>
        <w:pageBreakBefore w:val="0"/>
        <w:widowControl/>
        <w:wordWrap/>
        <w:topLinePunct w:val="0"/>
        <w:autoSpaceDE/>
        <w:autoSpaceDN/>
        <w:bidi w:val="0"/>
        <w:adjustRightInd/>
        <w:snapToGrid/>
        <w:spacing w:line="560" w:lineRule="exact"/>
        <w:textAlignment w:val="auto"/>
        <w:rPr>
          <w:rFonts w:hint="eastAsia" w:ascii="仿宋_GB2312" w:hAnsi="仿宋_GB2312" w:eastAsia="仿宋_GB2312" w:cs="仿宋_GB2312"/>
          <w:bCs/>
          <w:sz w:val="32"/>
          <w:szCs w:val="32"/>
          <w:lang w:val="en-US" w:eastAsia="zh-CN"/>
        </w:rPr>
      </w:pPr>
    </w:p>
    <w:p w14:paraId="24F1C68A">
      <w:pPr>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附件1：</w:t>
      </w:r>
    </w:p>
    <w:p w14:paraId="2DEB11EA">
      <w:pPr>
        <w:pStyle w:val="3"/>
        <w:jc w:val="center"/>
        <w:rPr>
          <w:rFonts w:hint="default"/>
          <w:b/>
          <w:bCs w:val="0"/>
          <w:lang w:val="en-US" w:eastAsia="zh-CN"/>
        </w:rPr>
      </w:pPr>
      <w:r>
        <w:rPr>
          <w:rFonts w:hint="eastAsia" w:ascii="仿宋_GB2312" w:hAnsi="仿宋_GB2312" w:eastAsia="仿宋_GB2312" w:cs="仿宋_GB2312"/>
          <w:b/>
          <w:bCs w:val="0"/>
          <w:sz w:val="32"/>
          <w:szCs w:val="32"/>
          <w:lang w:val="en-US" w:eastAsia="zh-CN" w:bidi="zh-CN"/>
        </w:rPr>
        <w:t>金平昆钢金河有限责任公司马鞍山1#排土场砌筑790m-830m左岸截洪沟、沉砂池及涵管埋设安全措施工程工程量清单及图纸</w:t>
      </w:r>
    </w:p>
    <w:tbl>
      <w:tblPr>
        <w:tblStyle w:val="11"/>
        <w:tblW w:w="8832" w:type="dxa"/>
        <w:jc w:val="center"/>
        <w:tblLayout w:type="fixed"/>
        <w:tblCellMar>
          <w:top w:w="0" w:type="dxa"/>
          <w:left w:w="108" w:type="dxa"/>
          <w:bottom w:w="0" w:type="dxa"/>
          <w:right w:w="108" w:type="dxa"/>
        </w:tblCellMar>
      </w:tblPr>
      <w:tblGrid>
        <w:gridCol w:w="444"/>
        <w:gridCol w:w="1629"/>
        <w:gridCol w:w="5183"/>
        <w:gridCol w:w="733"/>
        <w:gridCol w:w="843"/>
      </w:tblGrid>
      <w:tr w14:paraId="31C26599">
        <w:tblPrEx>
          <w:tblCellMar>
            <w:top w:w="0" w:type="dxa"/>
            <w:left w:w="108" w:type="dxa"/>
            <w:bottom w:w="0" w:type="dxa"/>
            <w:right w:w="108" w:type="dxa"/>
          </w:tblCellMar>
        </w:tblPrEx>
        <w:trPr>
          <w:trHeight w:val="871"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0AA6F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序号</w:t>
            </w:r>
          </w:p>
        </w:tc>
        <w:tc>
          <w:tcPr>
            <w:tcW w:w="16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5ED68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项目名称</w:t>
            </w:r>
          </w:p>
        </w:tc>
        <w:tc>
          <w:tcPr>
            <w:tcW w:w="51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691E0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项目特征</w:t>
            </w:r>
          </w:p>
        </w:tc>
        <w:tc>
          <w:tcPr>
            <w:tcW w:w="7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B860E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rPr>
              <w:t>计量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单位</w:t>
            </w:r>
          </w:p>
        </w:tc>
        <w:tc>
          <w:tcPr>
            <w:tcW w:w="8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B618F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工程量</w:t>
            </w:r>
          </w:p>
        </w:tc>
      </w:tr>
      <w:tr w14:paraId="3134A556">
        <w:tblPrEx>
          <w:tblCellMar>
            <w:top w:w="0" w:type="dxa"/>
            <w:left w:w="108" w:type="dxa"/>
            <w:bottom w:w="0" w:type="dxa"/>
            <w:right w:w="108" w:type="dxa"/>
          </w:tblCellMar>
        </w:tblPrEx>
        <w:trPr>
          <w:trHeight w:val="524" w:hRule="atLeast"/>
          <w:jc w:val="center"/>
        </w:trPr>
        <w:tc>
          <w:tcPr>
            <w:tcW w:w="8832" w:type="dxa"/>
            <w:gridSpan w:val="5"/>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2A034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一、马鞍山1#排土场790m-830m截洪沟</w:t>
            </w:r>
          </w:p>
        </w:tc>
      </w:tr>
      <w:tr w14:paraId="389E7740">
        <w:tblPrEx>
          <w:tblCellMar>
            <w:top w:w="0" w:type="dxa"/>
            <w:left w:w="108" w:type="dxa"/>
            <w:bottom w:w="0" w:type="dxa"/>
            <w:right w:w="108" w:type="dxa"/>
          </w:tblCellMar>
        </w:tblPrEx>
        <w:trPr>
          <w:trHeight w:val="1660"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36BF9F6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1</w:t>
            </w:r>
          </w:p>
        </w:tc>
        <w:tc>
          <w:tcPr>
            <w:tcW w:w="1629" w:type="dxa"/>
            <w:tcBorders>
              <w:top w:val="nil"/>
              <w:left w:val="nil"/>
              <w:bottom w:val="single" w:color="auto" w:sz="4" w:space="0"/>
              <w:right w:val="single" w:color="auto" w:sz="4" w:space="0"/>
            </w:tcBorders>
            <w:shd w:val="clear" w:color="auto" w:fill="FFFFFF"/>
            <w:noWrap w:val="0"/>
            <w:vAlign w:val="center"/>
          </w:tcPr>
          <w:p w14:paraId="119DBA92">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土方开挖（含清基）</w:t>
            </w:r>
          </w:p>
        </w:tc>
        <w:tc>
          <w:tcPr>
            <w:tcW w:w="5183" w:type="dxa"/>
            <w:tcBorders>
              <w:top w:val="nil"/>
              <w:left w:val="nil"/>
              <w:bottom w:val="single" w:color="auto" w:sz="4" w:space="0"/>
              <w:right w:val="single" w:color="auto" w:sz="4" w:space="0"/>
            </w:tcBorders>
            <w:shd w:val="clear" w:color="auto" w:fill="FFFFFF"/>
            <w:noWrap w:val="0"/>
            <w:vAlign w:val="center"/>
          </w:tcPr>
          <w:p w14:paraId="2BC645E1">
            <w:pPr>
              <w:keepNext w:val="0"/>
              <w:keepLines w:val="0"/>
              <w:pageBreakBefore w:val="0"/>
              <w:widowControl w:val="0"/>
              <w:numPr>
                <w:ilvl w:val="0"/>
                <w:numId w:val="1"/>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1517F4E2">
            <w:pPr>
              <w:keepNext w:val="0"/>
              <w:keepLines w:val="0"/>
              <w:pageBreakBefore w:val="0"/>
              <w:widowControl w:val="0"/>
              <w:numPr>
                <w:ilvl w:val="0"/>
                <w:numId w:val="1"/>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深度：1.5米，长度：170</w:t>
            </w:r>
            <w:r>
              <w:rPr>
                <w:rFonts w:hint="eastAsia" w:ascii="宋体" w:hAnsi="宋体" w:eastAsia="宋体" w:cs="Times New Roman"/>
                <w:sz w:val="24"/>
                <w:szCs w:val="24"/>
                <w:highlight w:val="none"/>
                <w:lang w:val="en-US" w:eastAsia="zh-CN"/>
              </w:rPr>
              <w:t>米</w:t>
            </w:r>
            <w:r>
              <w:rPr>
                <w:rFonts w:hint="eastAsia" w:ascii="宋体" w:hAnsi="宋体" w:eastAsia="宋体" w:cs="Times New Roman"/>
                <w:sz w:val="24"/>
                <w:szCs w:val="24"/>
                <w:lang w:val="en-US" w:eastAsia="zh-CN"/>
              </w:rPr>
              <w:t>，宽1.6米；</w:t>
            </w:r>
          </w:p>
          <w:p w14:paraId="179D1DF3">
            <w:pPr>
              <w:keepNext w:val="0"/>
              <w:keepLines w:val="0"/>
              <w:pageBreakBefore w:val="0"/>
              <w:widowControl w:val="0"/>
              <w:numPr>
                <w:ilvl w:val="0"/>
                <w:numId w:val="1"/>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1641089D">
            <w:pPr>
              <w:keepNext w:val="0"/>
              <w:keepLines w:val="0"/>
              <w:pageBreakBefore w:val="0"/>
              <w:widowControl w:val="0"/>
              <w:numPr>
                <w:ilvl w:val="-1"/>
                <w:numId w:val="0"/>
              </w:numPr>
              <w:kinsoku/>
              <w:wordWrap/>
              <w:overflowPunct/>
              <w:topLinePunct w:val="0"/>
              <w:autoSpaceDE/>
              <w:autoSpaceDN/>
              <w:bidi w:val="0"/>
              <w:adjustRightInd/>
              <w:snapToGrid/>
              <w:spacing w:line="320" w:lineRule="exact"/>
              <w:ind w:left="0" w:firstLine="0"/>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322635B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nil"/>
              <w:left w:val="nil"/>
              <w:bottom w:val="single" w:color="auto" w:sz="4" w:space="0"/>
              <w:right w:val="single" w:color="auto" w:sz="4" w:space="0"/>
            </w:tcBorders>
            <w:shd w:val="clear" w:color="auto" w:fill="FFFFFF"/>
            <w:noWrap w:val="0"/>
            <w:vAlign w:val="center"/>
          </w:tcPr>
          <w:p w14:paraId="7DBF18A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408</w:t>
            </w:r>
          </w:p>
        </w:tc>
      </w:tr>
      <w:tr w14:paraId="1E3A94BF">
        <w:tblPrEx>
          <w:tblCellMar>
            <w:top w:w="0" w:type="dxa"/>
            <w:left w:w="108" w:type="dxa"/>
            <w:bottom w:w="0" w:type="dxa"/>
            <w:right w:w="108" w:type="dxa"/>
          </w:tblCellMar>
        </w:tblPrEx>
        <w:trPr>
          <w:trHeight w:val="1519"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65D6799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1629" w:type="dxa"/>
            <w:tcBorders>
              <w:top w:val="nil"/>
              <w:left w:val="nil"/>
              <w:bottom w:val="single" w:color="auto" w:sz="4" w:space="0"/>
              <w:right w:val="single" w:color="auto" w:sz="4" w:space="0"/>
            </w:tcBorders>
            <w:shd w:val="clear" w:color="auto" w:fill="FFFFFF"/>
            <w:noWrap w:val="0"/>
            <w:vAlign w:val="center"/>
          </w:tcPr>
          <w:p w14:paraId="63A8028F">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砌筑毛石截洪沟</w:t>
            </w:r>
          </w:p>
        </w:tc>
        <w:tc>
          <w:tcPr>
            <w:tcW w:w="5183" w:type="dxa"/>
            <w:tcBorders>
              <w:top w:val="nil"/>
              <w:left w:val="nil"/>
              <w:bottom w:val="single" w:color="auto" w:sz="4" w:space="0"/>
              <w:right w:val="single" w:color="auto" w:sz="4" w:space="0"/>
            </w:tcBorders>
            <w:shd w:val="clear" w:color="auto" w:fill="FFFFFF"/>
            <w:noWrap w:val="0"/>
            <w:vAlign w:val="center"/>
          </w:tcPr>
          <w:p w14:paraId="73627401">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砂浆强度等级:水泥砂浆M7.5；</w:t>
            </w:r>
          </w:p>
          <w:p w14:paraId="0DF0E108">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石料材质：石料应采用质地坚硬、不易风化的材料，且无裂纹；</w:t>
            </w:r>
          </w:p>
          <w:p w14:paraId="2D72C6EF">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排水设计：坡度与排土场坡度一致；</w:t>
            </w:r>
          </w:p>
          <w:p w14:paraId="50B27E80">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截洪沟两侧回填；</w:t>
            </w:r>
          </w:p>
          <w:p w14:paraId="1DAC7ABE">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含运输、砌筑、二次搬运等一切工作内容；</w:t>
            </w:r>
          </w:p>
          <w:p w14:paraId="78F6AB1A">
            <w:pPr>
              <w:keepNext w:val="0"/>
              <w:keepLines w:val="0"/>
              <w:pageBreakBefore w:val="0"/>
              <w:widowControl w:val="0"/>
              <w:numPr>
                <w:ilvl w:val="0"/>
                <w:numId w:val="2"/>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6FBC2D6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nil"/>
              <w:left w:val="nil"/>
              <w:bottom w:val="single" w:color="auto" w:sz="4" w:space="0"/>
              <w:right w:val="single" w:color="auto" w:sz="4" w:space="0"/>
            </w:tcBorders>
            <w:shd w:val="clear" w:color="auto" w:fill="FFFFFF"/>
            <w:noWrap w:val="0"/>
            <w:vAlign w:val="center"/>
          </w:tcPr>
          <w:p w14:paraId="2E84829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217.6</w:t>
            </w:r>
          </w:p>
        </w:tc>
      </w:tr>
      <w:tr w14:paraId="7EF5FCC7">
        <w:tblPrEx>
          <w:tblCellMar>
            <w:top w:w="0" w:type="dxa"/>
            <w:left w:w="108" w:type="dxa"/>
            <w:bottom w:w="0" w:type="dxa"/>
            <w:right w:w="108" w:type="dxa"/>
          </w:tblCellMar>
        </w:tblPrEx>
        <w:trPr>
          <w:trHeight w:val="1459"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1CB5DB3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1629" w:type="dxa"/>
            <w:tcBorders>
              <w:top w:val="nil"/>
              <w:left w:val="nil"/>
              <w:bottom w:val="single" w:color="auto" w:sz="4" w:space="0"/>
              <w:right w:val="single" w:color="auto" w:sz="4" w:space="0"/>
            </w:tcBorders>
            <w:shd w:val="clear" w:color="auto" w:fill="FFFFFF"/>
            <w:noWrap w:val="0"/>
            <w:vAlign w:val="center"/>
          </w:tcPr>
          <w:p w14:paraId="1CDF51F8">
            <w:pPr>
              <w:keepNext w:val="0"/>
              <w:keepLines w:val="0"/>
              <w:pageBreakBefore w:val="0"/>
              <w:kinsoku/>
              <w:wordWrap/>
              <w:overflowPunct/>
              <w:topLinePunct w:val="0"/>
              <w:autoSpaceDE/>
              <w:autoSpaceDN/>
              <w:bidi w:val="0"/>
              <w:adjustRightInd/>
              <w:snapToGrid/>
              <w:spacing w:line="320" w:lineRule="exact"/>
              <w:textAlignment w:val="auto"/>
              <w:rPr>
                <w:rFonts w:hint="eastAsia" w:hAnsi="宋体"/>
                <w:sz w:val="24"/>
                <w:szCs w:val="24"/>
              </w:rPr>
            </w:pPr>
            <w:r>
              <w:rPr>
                <w:rFonts w:hint="eastAsia" w:ascii="宋体" w:hAnsi="宋体" w:eastAsia="宋体" w:cs="Times New Roman"/>
                <w:sz w:val="24"/>
                <w:szCs w:val="24"/>
                <w:lang w:val="en-US" w:eastAsia="zh-CN"/>
              </w:rPr>
              <w:t>抹灰</w:t>
            </w:r>
          </w:p>
        </w:tc>
        <w:tc>
          <w:tcPr>
            <w:tcW w:w="5183" w:type="dxa"/>
            <w:tcBorders>
              <w:top w:val="nil"/>
              <w:left w:val="nil"/>
              <w:bottom w:val="single" w:color="auto" w:sz="4" w:space="0"/>
              <w:right w:val="single" w:color="auto" w:sz="4" w:space="0"/>
            </w:tcBorders>
            <w:shd w:val="clear" w:color="auto" w:fill="FFFFFF"/>
            <w:noWrap w:val="0"/>
            <w:vAlign w:val="center"/>
          </w:tcPr>
          <w:p w14:paraId="4C71CDED">
            <w:pPr>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位置:沟底、沟壁、沟顶；</w:t>
            </w:r>
          </w:p>
          <w:p w14:paraId="1AC732DB">
            <w:pPr>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砂浆强度等级：M7.5水泥砂浆；</w:t>
            </w:r>
          </w:p>
          <w:p w14:paraId="67DE7AF5">
            <w:pPr>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55E6783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rPr>
              <w:t>㎡</w:t>
            </w:r>
          </w:p>
        </w:tc>
        <w:tc>
          <w:tcPr>
            <w:tcW w:w="843" w:type="dxa"/>
            <w:tcBorders>
              <w:top w:val="nil"/>
              <w:left w:val="nil"/>
              <w:bottom w:val="single" w:color="auto" w:sz="4" w:space="0"/>
              <w:right w:val="single" w:color="auto" w:sz="4" w:space="0"/>
            </w:tcBorders>
            <w:shd w:val="clear" w:color="auto" w:fill="FFFFFF"/>
            <w:noWrap w:val="0"/>
            <w:vAlign w:val="center"/>
          </w:tcPr>
          <w:p w14:paraId="4A88759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544</w:t>
            </w:r>
          </w:p>
        </w:tc>
      </w:tr>
      <w:tr w14:paraId="0AC70035">
        <w:tblPrEx>
          <w:tblCellMar>
            <w:top w:w="0" w:type="dxa"/>
            <w:left w:w="108" w:type="dxa"/>
            <w:bottom w:w="0" w:type="dxa"/>
            <w:right w:w="108" w:type="dxa"/>
          </w:tblCellMar>
        </w:tblPrEx>
        <w:trPr>
          <w:trHeight w:val="519" w:hRule="atLeast"/>
          <w:jc w:val="center"/>
        </w:trPr>
        <w:tc>
          <w:tcPr>
            <w:tcW w:w="8832" w:type="dxa"/>
            <w:gridSpan w:val="5"/>
            <w:tcBorders>
              <w:top w:val="nil"/>
              <w:left w:val="single" w:color="auto" w:sz="4" w:space="0"/>
              <w:bottom w:val="single" w:color="auto" w:sz="4" w:space="0"/>
              <w:right w:val="single" w:color="auto" w:sz="4" w:space="0"/>
            </w:tcBorders>
            <w:shd w:val="clear" w:color="auto" w:fill="FFFFFF"/>
            <w:noWrap w:val="0"/>
            <w:vAlign w:val="center"/>
          </w:tcPr>
          <w:p w14:paraId="28FDE1B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二、马鞍山1#排土场790m沉砂池</w:t>
            </w:r>
          </w:p>
        </w:tc>
      </w:tr>
      <w:tr w14:paraId="5E4B3A03">
        <w:tblPrEx>
          <w:tblCellMar>
            <w:top w:w="0" w:type="dxa"/>
            <w:left w:w="108" w:type="dxa"/>
            <w:bottom w:w="0" w:type="dxa"/>
            <w:right w:w="108" w:type="dxa"/>
          </w:tblCellMar>
        </w:tblPrEx>
        <w:trPr>
          <w:trHeight w:val="1519"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2049037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1629" w:type="dxa"/>
            <w:tcBorders>
              <w:top w:val="nil"/>
              <w:left w:val="nil"/>
              <w:bottom w:val="single" w:color="auto" w:sz="4" w:space="0"/>
              <w:right w:val="single" w:color="auto" w:sz="4" w:space="0"/>
            </w:tcBorders>
            <w:shd w:val="clear" w:color="auto" w:fill="FFFFFF"/>
            <w:noWrap w:val="0"/>
            <w:vAlign w:val="center"/>
          </w:tcPr>
          <w:p w14:paraId="79DA4B85">
            <w:pPr>
              <w:keepNext w:val="0"/>
              <w:keepLines w:val="0"/>
              <w:pageBreakBefore w:val="0"/>
              <w:kinsoku/>
              <w:wordWrap/>
              <w:overflowPunct/>
              <w:topLinePunct w:val="0"/>
              <w:autoSpaceDE/>
              <w:autoSpaceDN/>
              <w:bidi w:val="0"/>
              <w:adjustRightInd/>
              <w:snapToGrid/>
              <w:spacing w:line="320" w:lineRule="exact"/>
              <w:textAlignment w:val="auto"/>
              <w:rPr>
                <w:rFonts w:hint="eastAsia" w:hAnsi="宋体"/>
                <w:sz w:val="24"/>
                <w:szCs w:val="24"/>
              </w:rPr>
            </w:pPr>
            <w:r>
              <w:rPr>
                <w:rFonts w:hint="eastAsia" w:ascii="宋体" w:hAnsi="宋体" w:eastAsia="宋体" w:cs="Times New Roman"/>
                <w:sz w:val="24"/>
                <w:szCs w:val="24"/>
                <w:lang w:val="en-US" w:eastAsia="zh-CN"/>
              </w:rPr>
              <w:t>土方开挖</w:t>
            </w:r>
          </w:p>
        </w:tc>
        <w:tc>
          <w:tcPr>
            <w:tcW w:w="5183" w:type="dxa"/>
            <w:tcBorders>
              <w:top w:val="nil"/>
              <w:left w:val="nil"/>
              <w:bottom w:val="single" w:color="auto" w:sz="4" w:space="0"/>
              <w:right w:val="single" w:color="auto" w:sz="4" w:space="0"/>
            </w:tcBorders>
            <w:shd w:val="clear" w:color="auto" w:fill="FFFFFF"/>
            <w:noWrap w:val="0"/>
            <w:vAlign w:val="center"/>
          </w:tcPr>
          <w:p w14:paraId="1CA2A5D7">
            <w:pPr>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6E3FE4E0">
            <w:pPr>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开挖高度：2米，长度：3米，宽度：2.5米；</w:t>
            </w:r>
          </w:p>
          <w:p w14:paraId="5A7A66F0">
            <w:pPr>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74B14075">
            <w:pPr>
              <w:keepNext w:val="0"/>
              <w:keepLines w:val="0"/>
              <w:pageBreakBefore w:val="0"/>
              <w:widowControl w:val="0"/>
              <w:numPr>
                <w:ilvl w:val="0"/>
                <w:numId w:val="4"/>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756C57E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nil"/>
              <w:left w:val="nil"/>
              <w:bottom w:val="single" w:color="auto" w:sz="4" w:space="0"/>
              <w:right w:val="single" w:color="auto" w:sz="4" w:space="0"/>
            </w:tcBorders>
            <w:shd w:val="clear" w:color="auto" w:fill="FFFFFF"/>
            <w:noWrap w:val="0"/>
            <w:vAlign w:val="center"/>
          </w:tcPr>
          <w:p w14:paraId="3ACEA28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15</w:t>
            </w:r>
          </w:p>
        </w:tc>
      </w:tr>
      <w:tr w14:paraId="6913577F">
        <w:tblPrEx>
          <w:tblCellMar>
            <w:top w:w="0" w:type="dxa"/>
            <w:left w:w="108" w:type="dxa"/>
            <w:bottom w:w="0" w:type="dxa"/>
            <w:right w:w="108" w:type="dxa"/>
          </w:tblCellMar>
        </w:tblPrEx>
        <w:trPr>
          <w:trHeight w:val="2070"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4B4A0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16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7692BF">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砌筑毛石沉砂池</w:t>
            </w:r>
          </w:p>
        </w:tc>
        <w:tc>
          <w:tcPr>
            <w:tcW w:w="51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45990B">
            <w:pPr>
              <w:keepNext w:val="0"/>
              <w:keepLines w:val="0"/>
              <w:pageBreakBefore w:val="0"/>
              <w:widowControl w:val="0"/>
              <w:numPr>
                <w:ilvl w:val="0"/>
                <w:numId w:val="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长度：3米，宽度2.5米，池底厚0.4米，池壁高：1.5米，池壁厚0.5米；</w:t>
            </w:r>
          </w:p>
          <w:p w14:paraId="0AE1A963">
            <w:pPr>
              <w:keepNext w:val="0"/>
              <w:keepLines w:val="0"/>
              <w:pageBreakBefore w:val="0"/>
              <w:widowControl w:val="0"/>
              <w:numPr>
                <w:ilvl w:val="0"/>
                <w:numId w:val="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砂浆强度等级:水泥砂浆M7.5；</w:t>
            </w:r>
          </w:p>
          <w:p w14:paraId="21A65866">
            <w:pPr>
              <w:keepNext w:val="0"/>
              <w:keepLines w:val="0"/>
              <w:pageBreakBefore w:val="0"/>
              <w:widowControl w:val="0"/>
              <w:numPr>
                <w:ilvl w:val="0"/>
                <w:numId w:val="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石料材质：石料应采用质地坚硬、不易风化的材料，且无裂纹；</w:t>
            </w:r>
          </w:p>
          <w:p w14:paraId="5D0F0991">
            <w:pPr>
              <w:keepNext w:val="0"/>
              <w:keepLines w:val="0"/>
              <w:pageBreakBefore w:val="0"/>
              <w:widowControl w:val="0"/>
              <w:numPr>
                <w:ilvl w:val="0"/>
                <w:numId w:val="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含运输、砌筑、二次搬运等一切工作内容；</w:t>
            </w:r>
          </w:p>
          <w:p w14:paraId="244D7E64">
            <w:pPr>
              <w:keepNext w:val="0"/>
              <w:keepLines w:val="0"/>
              <w:pageBreakBefore w:val="0"/>
              <w:widowControl w:val="0"/>
              <w:numPr>
                <w:ilvl w:val="0"/>
                <w:numId w:val="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38CBF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6585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11.25</w:t>
            </w:r>
          </w:p>
        </w:tc>
      </w:tr>
      <w:tr w14:paraId="5A431D88">
        <w:tblPrEx>
          <w:tblCellMar>
            <w:top w:w="0" w:type="dxa"/>
            <w:left w:w="108" w:type="dxa"/>
            <w:bottom w:w="0" w:type="dxa"/>
            <w:right w:w="108" w:type="dxa"/>
          </w:tblCellMar>
        </w:tblPrEx>
        <w:trPr>
          <w:trHeight w:val="1519"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2DC97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16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A4C764">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抹灰</w:t>
            </w:r>
          </w:p>
        </w:tc>
        <w:tc>
          <w:tcPr>
            <w:tcW w:w="51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385D79">
            <w:pPr>
              <w:keepNext w:val="0"/>
              <w:keepLines w:val="0"/>
              <w:pageBreakBefore w:val="0"/>
              <w:widowControl w:val="0"/>
              <w:numPr>
                <w:ilvl w:val="0"/>
                <w:numId w:val="6"/>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位置:池底、池内壁、</w:t>
            </w:r>
            <w:r>
              <w:rPr>
                <w:rFonts w:hint="eastAsia" w:ascii="宋体" w:hAnsi="宋体" w:eastAsia="宋体" w:cs="Times New Roman"/>
                <w:sz w:val="24"/>
                <w:szCs w:val="24"/>
                <w:highlight w:val="none"/>
                <w:lang w:val="en-US" w:eastAsia="zh-CN"/>
              </w:rPr>
              <w:t>池顶</w:t>
            </w:r>
            <w:r>
              <w:rPr>
                <w:rFonts w:hint="eastAsia" w:ascii="宋体" w:hAnsi="宋体" w:eastAsia="宋体" w:cs="Times New Roman"/>
                <w:sz w:val="24"/>
                <w:szCs w:val="24"/>
                <w:lang w:val="en-US" w:eastAsia="zh-CN"/>
              </w:rPr>
              <w:t>；</w:t>
            </w:r>
          </w:p>
          <w:p w14:paraId="0CFB4704">
            <w:pPr>
              <w:keepNext w:val="0"/>
              <w:keepLines w:val="0"/>
              <w:pageBreakBefore w:val="0"/>
              <w:widowControl w:val="0"/>
              <w:numPr>
                <w:ilvl w:val="0"/>
                <w:numId w:val="6"/>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砂浆强度等级：M7.5水泥砂浆；</w:t>
            </w:r>
          </w:p>
          <w:p w14:paraId="6171C897">
            <w:pPr>
              <w:keepNext w:val="0"/>
              <w:keepLines w:val="0"/>
              <w:pageBreakBefore w:val="0"/>
              <w:widowControl w:val="0"/>
              <w:numPr>
                <w:ilvl w:val="0"/>
                <w:numId w:val="6"/>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FD4A5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auto"/>
                <w:kern w:val="0"/>
                <w:sz w:val="24"/>
                <w:szCs w:val="24"/>
                <w:lang w:val="en-US" w:eastAsia="zh-CN" w:bidi="ar-SA"/>
              </w:rPr>
            </w:pPr>
            <w:r>
              <w:rPr>
                <w:rFonts w:hint="eastAsia" w:ascii="宋体" w:hAnsi="宋体" w:cs="宋体"/>
                <w:color w:val="000000"/>
                <w:kern w:val="0"/>
                <w:sz w:val="24"/>
                <w:szCs w:val="24"/>
              </w:rPr>
              <w:t>㎡</w:t>
            </w:r>
          </w:p>
        </w:tc>
        <w:tc>
          <w:tcPr>
            <w:tcW w:w="8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63166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lang w:val="en-US" w:eastAsia="zh-CN"/>
              </w:rPr>
              <w:t>18</w:t>
            </w:r>
          </w:p>
        </w:tc>
      </w:tr>
      <w:tr w14:paraId="7358C489">
        <w:tblPrEx>
          <w:tblCellMar>
            <w:top w:w="0" w:type="dxa"/>
            <w:left w:w="108" w:type="dxa"/>
            <w:bottom w:w="0" w:type="dxa"/>
            <w:right w:w="108" w:type="dxa"/>
          </w:tblCellMar>
        </w:tblPrEx>
        <w:trPr>
          <w:trHeight w:val="500" w:hRule="atLeast"/>
          <w:jc w:val="center"/>
        </w:trPr>
        <w:tc>
          <w:tcPr>
            <w:tcW w:w="8832" w:type="dxa"/>
            <w:gridSpan w:val="5"/>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F4185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三、运矿道路埋设涵管</w:t>
            </w:r>
          </w:p>
        </w:tc>
      </w:tr>
      <w:tr w14:paraId="5A76DEA9">
        <w:tblPrEx>
          <w:tblCellMar>
            <w:top w:w="0" w:type="dxa"/>
            <w:left w:w="108" w:type="dxa"/>
            <w:bottom w:w="0" w:type="dxa"/>
            <w:right w:w="108" w:type="dxa"/>
          </w:tblCellMar>
        </w:tblPrEx>
        <w:trPr>
          <w:trHeight w:val="1650"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70BC1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16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EA9322">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土方开挖</w:t>
            </w:r>
          </w:p>
        </w:tc>
        <w:tc>
          <w:tcPr>
            <w:tcW w:w="51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9970ED">
            <w:pPr>
              <w:keepNext w:val="0"/>
              <w:keepLines w:val="0"/>
              <w:pageBreakBefore w:val="0"/>
              <w:widowControl w:val="0"/>
              <w:numPr>
                <w:ilvl w:val="0"/>
                <w:numId w:val="7"/>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3CE1D822">
            <w:pPr>
              <w:keepNext w:val="0"/>
              <w:keepLines w:val="0"/>
              <w:pageBreakBefore w:val="0"/>
              <w:widowControl w:val="0"/>
              <w:numPr>
                <w:ilvl w:val="0"/>
                <w:numId w:val="7"/>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开挖高度：2米，长度：14米，</w:t>
            </w:r>
            <w:r>
              <w:rPr>
                <w:rFonts w:hint="eastAsia" w:ascii="宋体" w:hAnsi="宋体" w:eastAsia="宋体" w:cs="Times New Roman"/>
                <w:sz w:val="24"/>
                <w:szCs w:val="24"/>
                <w:highlight w:val="none"/>
                <w:lang w:val="en-US" w:eastAsia="zh-CN"/>
              </w:rPr>
              <w:t>宽度：1.2米</w:t>
            </w:r>
            <w:r>
              <w:rPr>
                <w:rFonts w:hint="eastAsia" w:ascii="宋体" w:hAnsi="宋体" w:eastAsia="宋体" w:cs="Times New Roman"/>
                <w:sz w:val="24"/>
                <w:szCs w:val="24"/>
                <w:lang w:val="en-US" w:eastAsia="zh-CN"/>
              </w:rPr>
              <w:t>；</w:t>
            </w:r>
          </w:p>
          <w:p w14:paraId="6AEC6C02">
            <w:pPr>
              <w:keepNext w:val="0"/>
              <w:keepLines w:val="0"/>
              <w:pageBreakBefore w:val="0"/>
              <w:widowControl w:val="0"/>
              <w:numPr>
                <w:ilvl w:val="0"/>
                <w:numId w:val="7"/>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702AE94B">
            <w:pPr>
              <w:keepNext w:val="0"/>
              <w:keepLines w:val="0"/>
              <w:pageBreakBefore w:val="0"/>
              <w:widowControl w:val="0"/>
              <w:numPr>
                <w:ilvl w:val="0"/>
                <w:numId w:val="7"/>
              </w:numPr>
              <w:kinsoku/>
              <w:wordWrap/>
              <w:overflowPunct/>
              <w:topLinePunct w:val="0"/>
              <w:autoSpaceDE/>
              <w:autoSpaceDN/>
              <w:bidi w:val="0"/>
              <w:adjustRightInd/>
              <w:snapToGrid/>
              <w:spacing w:line="320" w:lineRule="exact"/>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678B8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24361B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lang w:val="en-US" w:eastAsia="zh-CN"/>
              </w:rPr>
              <w:t>33.6</w:t>
            </w:r>
          </w:p>
        </w:tc>
      </w:tr>
      <w:tr w14:paraId="3A2C98D2">
        <w:tblPrEx>
          <w:tblCellMar>
            <w:top w:w="0" w:type="dxa"/>
            <w:left w:w="108" w:type="dxa"/>
            <w:bottom w:w="0" w:type="dxa"/>
            <w:right w:w="108" w:type="dxa"/>
          </w:tblCellMar>
        </w:tblPrEx>
        <w:trPr>
          <w:trHeight w:val="2015"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C15CE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1629" w:type="dxa"/>
            <w:tcBorders>
              <w:top w:val="single" w:color="auto" w:sz="4" w:space="0"/>
              <w:left w:val="nil"/>
              <w:bottom w:val="single" w:color="auto" w:sz="4" w:space="0"/>
              <w:right w:val="single" w:color="auto" w:sz="4" w:space="0"/>
            </w:tcBorders>
            <w:shd w:val="clear" w:color="auto" w:fill="FFFFFF"/>
            <w:noWrap w:val="0"/>
            <w:vAlign w:val="center"/>
          </w:tcPr>
          <w:p w14:paraId="33B54529">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现浇C15混凝土垫层</w:t>
            </w:r>
          </w:p>
        </w:tc>
        <w:tc>
          <w:tcPr>
            <w:tcW w:w="5183" w:type="dxa"/>
            <w:tcBorders>
              <w:top w:val="single" w:color="auto" w:sz="4" w:space="0"/>
              <w:left w:val="nil"/>
              <w:bottom w:val="single" w:color="auto" w:sz="4" w:space="0"/>
              <w:right w:val="single" w:color="auto" w:sz="4" w:space="0"/>
            </w:tcBorders>
            <w:shd w:val="clear" w:color="auto" w:fill="FFFFFF"/>
            <w:noWrap w:val="0"/>
            <w:vAlign w:val="center"/>
          </w:tcPr>
          <w:p w14:paraId="32D29602">
            <w:pPr>
              <w:keepNext w:val="0"/>
              <w:keepLines w:val="0"/>
              <w:pageBreakBefore w:val="0"/>
              <w:widowControl w:val="0"/>
              <w:numPr>
                <w:ilvl w:val="0"/>
                <w:numId w:val="8"/>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混凝土强度等级：C15；</w:t>
            </w:r>
          </w:p>
          <w:p w14:paraId="4DB45372">
            <w:pPr>
              <w:keepNext w:val="0"/>
              <w:keepLines w:val="0"/>
              <w:pageBreakBefore w:val="0"/>
              <w:widowControl w:val="0"/>
              <w:numPr>
                <w:ilvl w:val="0"/>
                <w:numId w:val="8"/>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混凝土种类：现浇混凝土；</w:t>
            </w:r>
          </w:p>
          <w:p w14:paraId="0FD6E5C7">
            <w:pPr>
              <w:keepNext w:val="0"/>
              <w:keepLines w:val="0"/>
              <w:pageBreakBefore w:val="0"/>
              <w:widowControl w:val="0"/>
              <w:numPr>
                <w:ilvl w:val="0"/>
                <w:numId w:val="8"/>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垫层厚度：150mm，宽度：1.2米；</w:t>
            </w:r>
          </w:p>
          <w:p w14:paraId="2D813C22">
            <w:pPr>
              <w:keepNext w:val="0"/>
              <w:keepLines w:val="0"/>
              <w:pageBreakBefore w:val="0"/>
              <w:widowControl w:val="0"/>
              <w:numPr>
                <w:ilvl w:val="0"/>
                <w:numId w:val="8"/>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垫层部位：涵管下；</w:t>
            </w:r>
          </w:p>
          <w:p w14:paraId="1062D846">
            <w:pPr>
              <w:keepNext w:val="0"/>
              <w:keepLines w:val="0"/>
              <w:pageBreakBefore w:val="0"/>
              <w:widowControl w:val="0"/>
              <w:numPr>
                <w:ilvl w:val="0"/>
                <w:numId w:val="8"/>
              </w:numPr>
              <w:kinsoku/>
              <w:wordWrap/>
              <w:overflowPunct/>
              <w:topLinePunct w:val="0"/>
              <w:autoSpaceDE/>
              <w:autoSpaceDN/>
              <w:bidi w:val="0"/>
              <w:adjustRightInd/>
              <w:snapToGrid/>
              <w:spacing w:line="320" w:lineRule="exac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nil"/>
              <w:bottom w:val="single" w:color="auto" w:sz="4" w:space="0"/>
              <w:right w:val="single" w:color="auto" w:sz="4" w:space="0"/>
            </w:tcBorders>
            <w:shd w:val="clear" w:color="auto" w:fill="FFFFFF"/>
            <w:noWrap w:val="0"/>
            <w:vAlign w:val="center"/>
          </w:tcPr>
          <w:p w14:paraId="0A0DEBF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single" w:color="auto" w:sz="4" w:space="0"/>
              <w:left w:val="nil"/>
              <w:bottom w:val="single" w:color="auto" w:sz="4" w:space="0"/>
              <w:right w:val="single" w:color="auto" w:sz="4" w:space="0"/>
            </w:tcBorders>
            <w:shd w:val="clear" w:color="auto" w:fill="FFFFFF"/>
            <w:noWrap w:val="0"/>
            <w:vAlign w:val="center"/>
          </w:tcPr>
          <w:p w14:paraId="6CDB3C1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2.52</w:t>
            </w:r>
          </w:p>
        </w:tc>
      </w:tr>
      <w:tr w14:paraId="68B1E978">
        <w:tblPrEx>
          <w:tblCellMar>
            <w:top w:w="0" w:type="dxa"/>
            <w:left w:w="108" w:type="dxa"/>
            <w:bottom w:w="0" w:type="dxa"/>
            <w:right w:w="108" w:type="dxa"/>
          </w:tblCellMar>
        </w:tblPrEx>
        <w:trPr>
          <w:trHeight w:val="2045"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4E6EB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1629" w:type="dxa"/>
            <w:tcBorders>
              <w:top w:val="single" w:color="auto" w:sz="4" w:space="0"/>
              <w:left w:val="nil"/>
              <w:bottom w:val="single" w:color="auto" w:sz="4" w:space="0"/>
              <w:right w:val="single" w:color="auto" w:sz="4" w:space="0"/>
            </w:tcBorders>
            <w:shd w:val="clear" w:color="auto" w:fill="FFFFFF"/>
            <w:noWrap w:val="0"/>
            <w:vAlign w:val="center"/>
          </w:tcPr>
          <w:p w14:paraId="76C01105">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铺设涵管</w:t>
            </w:r>
          </w:p>
        </w:tc>
        <w:tc>
          <w:tcPr>
            <w:tcW w:w="5183" w:type="dxa"/>
            <w:tcBorders>
              <w:top w:val="single" w:color="auto" w:sz="4" w:space="0"/>
              <w:left w:val="nil"/>
              <w:bottom w:val="single" w:color="auto" w:sz="4" w:space="0"/>
              <w:right w:val="single" w:color="auto" w:sz="4" w:space="0"/>
            </w:tcBorders>
            <w:shd w:val="clear" w:color="auto" w:fill="FFFFFF"/>
            <w:noWrap w:val="0"/>
            <w:vAlign w:val="center"/>
          </w:tcPr>
          <w:p w14:paraId="6E3A1DD1">
            <w:pPr>
              <w:keepNext w:val="0"/>
              <w:keepLines w:val="0"/>
              <w:pageBreakBefore w:val="0"/>
              <w:widowControl w:val="0"/>
              <w:numPr>
                <w:ilvl w:val="0"/>
                <w:numId w:val="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涵管材质：钢筋混凝土圆管涵；</w:t>
            </w:r>
          </w:p>
          <w:p w14:paraId="08287427">
            <w:pPr>
              <w:keepNext w:val="0"/>
              <w:keepLines w:val="0"/>
              <w:pageBreakBefore w:val="0"/>
              <w:widowControl w:val="0"/>
              <w:numPr>
                <w:ilvl w:val="0"/>
                <w:numId w:val="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涵管尺寸：Φ500mm钢筋混凝土圆管涵；</w:t>
            </w:r>
          </w:p>
          <w:p w14:paraId="4A63A893">
            <w:pPr>
              <w:keepNext w:val="0"/>
              <w:keepLines w:val="0"/>
              <w:pageBreakBefore w:val="0"/>
              <w:widowControl w:val="0"/>
              <w:numPr>
                <w:ilvl w:val="0"/>
                <w:numId w:val="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壁厚：壁厚100mm；</w:t>
            </w:r>
          </w:p>
          <w:p w14:paraId="002CA087">
            <w:pPr>
              <w:keepNext w:val="0"/>
              <w:keepLines w:val="0"/>
              <w:pageBreakBefore w:val="0"/>
              <w:widowControl w:val="0"/>
              <w:numPr>
                <w:ilvl w:val="0"/>
                <w:numId w:val="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长度：单节长度2m；</w:t>
            </w:r>
          </w:p>
          <w:p w14:paraId="4C213E4B">
            <w:pPr>
              <w:keepNext w:val="0"/>
              <w:keepLines w:val="0"/>
              <w:pageBreakBefore w:val="0"/>
              <w:widowControl w:val="0"/>
              <w:numPr>
                <w:ilvl w:val="0"/>
                <w:numId w:val="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nil"/>
              <w:bottom w:val="single" w:color="auto" w:sz="4" w:space="0"/>
              <w:right w:val="single" w:color="auto" w:sz="4" w:space="0"/>
            </w:tcBorders>
            <w:shd w:val="clear" w:color="auto" w:fill="FFFFFF"/>
            <w:noWrap w:val="0"/>
            <w:vAlign w:val="center"/>
          </w:tcPr>
          <w:p w14:paraId="3DBB54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m</w:t>
            </w:r>
          </w:p>
        </w:tc>
        <w:tc>
          <w:tcPr>
            <w:tcW w:w="843" w:type="dxa"/>
            <w:tcBorders>
              <w:top w:val="single" w:color="auto" w:sz="4" w:space="0"/>
              <w:left w:val="nil"/>
              <w:bottom w:val="single" w:color="auto" w:sz="4" w:space="0"/>
              <w:right w:val="single" w:color="auto" w:sz="4" w:space="0"/>
            </w:tcBorders>
            <w:shd w:val="clear" w:color="auto" w:fill="FFFFFF"/>
            <w:noWrap w:val="0"/>
            <w:vAlign w:val="center"/>
          </w:tcPr>
          <w:p w14:paraId="254B982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w:t>
            </w:r>
          </w:p>
        </w:tc>
      </w:tr>
      <w:tr w14:paraId="1D70A8F7">
        <w:tblPrEx>
          <w:tblCellMar>
            <w:top w:w="0" w:type="dxa"/>
            <w:left w:w="108" w:type="dxa"/>
            <w:bottom w:w="0" w:type="dxa"/>
            <w:right w:w="108" w:type="dxa"/>
          </w:tblCellMar>
        </w:tblPrEx>
        <w:trPr>
          <w:trHeight w:val="1519"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F324F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4</w:t>
            </w:r>
          </w:p>
        </w:tc>
        <w:tc>
          <w:tcPr>
            <w:tcW w:w="1629" w:type="dxa"/>
            <w:tcBorders>
              <w:top w:val="single" w:color="auto" w:sz="4" w:space="0"/>
              <w:left w:val="nil"/>
              <w:bottom w:val="single" w:color="auto" w:sz="4" w:space="0"/>
              <w:right w:val="single" w:color="auto" w:sz="4" w:space="0"/>
            </w:tcBorders>
            <w:shd w:val="clear" w:color="auto" w:fill="FFFFFF"/>
            <w:noWrap w:val="0"/>
            <w:vAlign w:val="center"/>
          </w:tcPr>
          <w:p w14:paraId="10C31B8E">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回填</w:t>
            </w:r>
          </w:p>
        </w:tc>
        <w:tc>
          <w:tcPr>
            <w:tcW w:w="5183" w:type="dxa"/>
            <w:tcBorders>
              <w:top w:val="single" w:color="auto" w:sz="4" w:space="0"/>
              <w:left w:val="nil"/>
              <w:bottom w:val="single" w:color="auto" w:sz="4" w:space="0"/>
              <w:right w:val="single" w:color="auto" w:sz="4" w:space="0"/>
            </w:tcBorders>
            <w:shd w:val="clear" w:color="auto" w:fill="FFFFFF"/>
            <w:noWrap w:val="0"/>
            <w:vAlign w:val="center"/>
          </w:tcPr>
          <w:p w14:paraId="1443FAB0">
            <w:pPr>
              <w:keepNext w:val="0"/>
              <w:keepLines w:val="0"/>
              <w:pageBreakBefore w:val="0"/>
              <w:widowControl w:val="0"/>
              <w:numPr>
                <w:ilvl w:val="0"/>
                <w:numId w:val="1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回填材料：砂石，可取原开挖土方；</w:t>
            </w:r>
          </w:p>
          <w:p w14:paraId="3D746F9D">
            <w:pPr>
              <w:keepNext w:val="0"/>
              <w:keepLines w:val="0"/>
              <w:pageBreakBefore w:val="0"/>
              <w:widowControl w:val="0"/>
              <w:numPr>
                <w:ilvl w:val="0"/>
                <w:numId w:val="1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压实度标准：压实度≥93%；</w:t>
            </w:r>
          </w:p>
          <w:p w14:paraId="17E5FC4B">
            <w:pPr>
              <w:keepNext w:val="0"/>
              <w:keepLines w:val="0"/>
              <w:pageBreakBefore w:val="0"/>
              <w:widowControl w:val="0"/>
              <w:numPr>
                <w:ilvl w:val="0"/>
                <w:numId w:val="1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nil"/>
              <w:bottom w:val="single" w:color="auto" w:sz="4" w:space="0"/>
              <w:right w:val="single" w:color="auto" w:sz="4" w:space="0"/>
            </w:tcBorders>
            <w:shd w:val="clear" w:color="auto" w:fill="FFFFFF"/>
            <w:noWrap w:val="0"/>
            <w:vAlign w:val="center"/>
          </w:tcPr>
          <w:p w14:paraId="2CFB8E3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single" w:color="auto" w:sz="4" w:space="0"/>
              <w:left w:val="nil"/>
              <w:bottom w:val="single" w:color="auto" w:sz="4" w:space="0"/>
              <w:right w:val="single" w:color="auto" w:sz="4" w:space="0"/>
            </w:tcBorders>
            <w:shd w:val="clear" w:color="auto" w:fill="FFFFFF"/>
            <w:noWrap w:val="0"/>
            <w:vAlign w:val="center"/>
          </w:tcPr>
          <w:p w14:paraId="3A70ACD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14.77</w:t>
            </w:r>
          </w:p>
        </w:tc>
      </w:tr>
    </w:tbl>
    <w:p w14:paraId="66DC8FAA">
      <w:pPr>
        <w:pStyle w:val="3"/>
        <w:rPr>
          <w:rFonts w:hint="default"/>
          <w:lang w:val="en-US" w:eastAsia="zh-CN"/>
        </w:rPr>
      </w:pPr>
    </w:p>
    <w:p w14:paraId="4B9874F9">
      <w:pPr>
        <w:pStyle w:val="3"/>
        <w:rPr>
          <w:rFonts w:hint="default"/>
          <w:lang w:val="en-US" w:eastAsia="zh-CN"/>
        </w:rPr>
      </w:pPr>
    </w:p>
    <w:p w14:paraId="1884F76B">
      <w:pPr>
        <w:rPr>
          <w:rFonts w:hint="default"/>
          <w:lang w:val="en-US" w:eastAsia="zh-CN"/>
        </w:rPr>
      </w:pPr>
    </w:p>
    <w:p w14:paraId="784F670F">
      <w:pPr>
        <w:pStyle w:val="3"/>
        <w:rPr>
          <w:rFonts w:hint="default"/>
          <w:lang w:val="en-US" w:eastAsia="zh-CN"/>
        </w:rPr>
      </w:pPr>
    </w:p>
    <w:p w14:paraId="6D366E95">
      <w:pPr>
        <w:rPr>
          <w:rFonts w:hint="default"/>
          <w:lang w:val="en-US" w:eastAsia="zh-CN"/>
        </w:rPr>
      </w:pPr>
    </w:p>
    <w:p w14:paraId="7D564F00">
      <w:pPr>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附件2：</w:t>
      </w:r>
    </w:p>
    <w:p w14:paraId="3D43DE03">
      <w:pPr>
        <w:rPr>
          <w:rFonts w:hint="default"/>
          <w:lang w:val="en-US" w:eastAsia="zh-CN"/>
        </w:rPr>
      </w:pPr>
    </w:p>
    <w:p w14:paraId="3B5F1E2D">
      <w:pPr>
        <w:jc w:val="center"/>
        <w:rPr>
          <w:rFonts w:hint="eastAsia" w:ascii="黑体" w:hAnsi="黑体" w:eastAsia="黑体"/>
          <w:b/>
          <w:sz w:val="44"/>
          <w:szCs w:val="44"/>
        </w:rPr>
      </w:pPr>
      <w:r>
        <w:rPr>
          <w:rFonts w:hint="eastAsia" w:ascii="黑体" w:hAnsi="黑体" w:eastAsia="黑体"/>
          <w:b/>
          <w:sz w:val="44"/>
          <w:szCs w:val="44"/>
        </w:rPr>
        <w:t>金平昆钢金河有限责任公司马鞍山1#排土场</w:t>
      </w:r>
      <w:r>
        <w:rPr>
          <w:rFonts w:hint="eastAsia" w:ascii="黑体" w:hAnsi="黑体" w:eastAsia="黑体"/>
          <w:b/>
          <w:sz w:val="44"/>
          <w:szCs w:val="44"/>
        </w:rPr>
        <w:br w:type="textWrapping"/>
      </w:r>
      <w:r>
        <w:rPr>
          <w:rFonts w:hint="eastAsia" w:ascii="黑体" w:hAnsi="黑体" w:eastAsia="黑体"/>
          <w:b/>
          <w:sz w:val="44"/>
          <w:szCs w:val="44"/>
        </w:rPr>
        <w:t>砌筑790m-830m左岸截洪沟、沉砂池及涵管埋设安全措施工程施工合同</w:t>
      </w:r>
    </w:p>
    <w:p w14:paraId="574D6A8E">
      <w:pPr>
        <w:tabs>
          <w:tab w:val="left" w:pos="6093"/>
        </w:tabs>
        <w:rPr>
          <w:rFonts w:hint="eastAsia" w:ascii="黑体" w:hAnsi="黑体" w:eastAsia="黑体"/>
          <w:b/>
          <w:snapToGrid w:val="0"/>
          <w:spacing w:val="-20"/>
          <w:kern w:val="0"/>
          <w:sz w:val="44"/>
          <w:szCs w:val="44"/>
          <w:lang w:eastAsia="zh-CN"/>
        </w:rPr>
      </w:pPr>
      <w:r>
        <w:rPr>
          <w:rFonts w:hint="eastAsia" w:ascii="黑体" w:hAnsi="黑体" w:eastAsia="黑体"/>
          <w:b/>
          <w:snapToGrid w:val="0"/>
          <w:spacing w:val="-20"/>
          <w:kern w:val="0"/>
          <w:sz w:val="44"/>
          <w:szCs w:val="44"/>
          <w:lang w:eastAsia="zh-CN"/>
        </w:rPr>
        <w:tab/>
      </w:r>
    </w:p>
    <w:p w14:paraId="10AF21E5">
      <w:pPr>
        <w:rPr>
          <w:rFonts w:hint="eastAsia" w:ascii="仿宋" w:hAnsi="仿宋" w:eastAsia="仿宋" w:cs="仿宋"/>
          <w:sz w:val="28"/>
          <w:szCs w:val="28"/>
        </w:rPr>
      </w:pPr>
      <w:r>
        <w:rPr>
          <w:rFonts w:hint="eastAsia" w:ascii="仿宋" w:hAnsi="仿宋" w:eastAsia="仿宋" w:cs="仿宋"/>
          <w:sz w:val="28"/>
          <w:szCs w:val="28"/>
        </w:rPr>
        <w:t xml:space="preserve">甲方合同编号：   </w:t>
      </w:r>
    </w:p>
    <w:p w14:paraId="65E26AEC">
      <w:pPr>
        <w:rPr>
          <w:rFonts w:hint="eastAsia" w:ascii="仿宋" w:hAnsi="仿宋" w:eastAsia="仿宋" w:cs="仿宋"/>
          <w:sz w:val="28"/>
          <w:szCs w:val="28"/>
        </w:rPr>
      </w:pPr>
      <w:r>
        <w:rPr>
          <w:rFonts w:hint="eastAsia" w:ascii="仿宋" w:hAnsi="仿宋" w:eastAsia="仿宋" w:cs="仿宋"/>
          <w:sz w:val="28"/>
          <w:szCs w:val="28"/>
        </w:rPr>
        <w:t>乙方合同编号：</w:t>
      </w:r>
    </w:p>
    <w:p w14:paraId="6F343B12">
      <w:pPr>
        <w:jc w:val="center"/>
        <w:rPr>
          <w:rFonts w:hint="eastAsia" w:ascii="黑体" w:hAnsi="黑体" w:eastAsia="黑体"/>
          <w:b/>
          <w:sz w:val="44"/>
          <w:szCs w:val="44"/>
        </w:rPr>
      </w:pPr>
    </w:p>
    <w:p w14:paraId="784A1304">
      <w:pPr>
        <w:jc w:val="both"/>
        <w:rPr>
          <w:rFonts w:hint="eastAsia" w:ascii="黑体" w:hAnsi="黑体" w:eastAsia="黑体"/>
          <w:b/>
          <w:sz w:val="44"/>
          <w:szCs w:val="44"/>
        </w:rPr>
      </w:pPr>
    </w:p>
    <w:p w14:paraId="0B1B11FC">
      <w:pPr>
        <w:jc w:val="center"/>
        <w:rPr>
          <w:rFonts w:hint="eastAsia" w:ascii="黑体" w:hAnsi="黑体" w:eastAsia="黑体"/>
          <w:b/>
          <w:sz w:val="44"/>
          <w:szCs w:val="44"/>
        </w:rPr>
      </w:pPr>
    </w:p>
    <w:p w14:paraId="0C41BE99">
      <w:pPr>
        <w:ind w:firstLine="964" w:firstLineChars="300"/>
        <w:rPr>
          <w:rFonts w:hint="eastAsia" w:ascii="仿宋" w:hAnsi="仿宋" w:eastAsia="仿宋" w:cs="仿宋"/>
          <w:sz w:val="32"/>
          <w:szCs w:val="32"/>
          <w:u w:val="single"/>
        </w:rPr>
      </w:pPr>
      <w:r>
        <w:rPr>
          <w:rFonts w:hint="eastAsia" w:ascii="宋体" w:hAnsi="宋体" w:cs="新宋体"/>
          <w:b/>
          <w:color w:val="000000"/>
          <w:sz w:val="32"/>
          <w:szCs w:val="32"/>
        </w:rPr>
        <w:t>发包人：金平昆钢金河有限责任公司</w:t>
      </w:r>
    </w:p>
    <w:p w14:paraId="287F3B30">
      <w:pPr>
        <w:tabs>
          <w:tab w:val="left" w:pos="2340"/>
          <w:tab w:val="center" w:pos="4932"/>
        </w:tabs>
        <w:spacing w:line="360" w:lineRule="auto"/>
        <w:ind w:firstLine="0" w:firstLineChars="0"/>
        <w:jc w:val="left"/>
        <w:rPr>
          <w:rFonts w:hint="eastAsia" w:ascii="宋体" w:hAnsi="宋体" w:cs="新宋体"/>
          <w:b/>
          <w:color w:val="000000"/>
          <w:sz w:val="32"/>
          <w:szCs w:val="32"/>
        </w:rPr>
      </w:pPr>
    </w:p>
    <w:p w14:paraId="1FFD79CA">
      <w:pPr>
        <w:tabs>
          <w:tab w:val="left" w:pos="2340"/>
          <w:tab w:val="center" w:pos="4932"/>
        </w:tabs>
        <w:spacing w:line="360" w:lineRule="auto"/>
        <w:ind w:firstLine="2570" w:firstLineChars="800"/>
        <w:jc w:val="left"/>
        <w:rPr>
          <w:rFonts w:hint="eastAsia" w:ascii="宋体" w:hAnsi="宋体" w:cs="新宋体"/>
          <w:b/>
          <w:color w:val="000000"/>
          <w:sz w:val="32"/>
          <w:szCs w:val="32"/>
        </w:rPr>
      </w:pPr>
    </w:p>
    <w:p w14:paraId="5D48A530">
      <w:pPr>
        <w:tabs>
          <w:tab w:val="left" w:pos="2340"/>
          <w:tab w:val="center" w:pos="4932"/>
        </w:tabs>
        <w:spacing w:line="360" w:lineRule="auto"/>
        <w:ind w:firstLine="2570" w:firstLineChars="800"/>
        <w:jc w:val="left"/>
        <w:rPr>
          <w:rFonts w:hint="eastAsia" w:ascii="宋体" w:hAnsi="宋体" w:cs="新宋体"/>
          <w:b/>
          <w:color w:val="000000"/>
          <w:sz w:val="32"/>
          <w:szCs w:val="32"/>
        </w:rPr>
      </w:pPr>
    </w:p>
    <w:p w14:paraId="070B012F">
      <w:pPr>
        <w:widowControl/>
        <w:tabs>
          <w:tab w:val="left" w:pos="2340"/>
          <w:tab w:val="center" w:pos="4932"/>
        </w:tabs>
        <w:ind w:firstLine="964" w:firstLineChars="300"/>
        <w:rPr>
          <w:rFonts w:hint="eastAsia" w:ascii="宋体" w:hAnsi="宋体" w:cs="新宋体"/>
          <w:b/>
          <w:color w:val="000000"/>
          <w:sz w:val="32"/>
          <w:szCs w:val="32"/>
        </w:rPr>
      </w:pPr>
      <w:r>
        <w:rPr>
          <w:rFonts w:hint="eastAsia" w:ascii="宋体" w:hAnsi="宋体" w:cs="新宋体"/>
          <w:b/>
          <w:color w:val="000000"/>
          <w:sz w:val="32"/>
          <w:szCs w:val="32"/>
        </w:rPr>
        <w:t>承包人：</w:t>
      </w:r>
    </w:p>
    <w:p w14:paraId="4D201BA6">
      <w:pPr>
        <w:jc w:val="both"/>
        <w:rPr>
          <w:rFonts w:hint="eastAsia" w:ascii="黑体" w:hAnsi="黑体" w:eastAsia="黑体"/>
          <w:b/>
          <w:sz w:val="44"/>
          <w:szCs w:val="44"/>
        </w:rPr>
      </w:pPr>
    </w:p>
    <w:p w14:paraId="6294969C">
      <w:pPr>
        <w:jc w:val="center"/>
        <w:rPr>
          <w:rFonts w:hint="eastAsia" w:ascii="黑体" w:hAnsi="黑体" w:eastAsia="黑体"/>
          <w:b/>
          <w:sz w:val="44"/>
          <w:szCs w:val="44"/>
        </w:rPr>
      </w:pPr>
    </w:p>
    <w:p w14:paraId="617A03C4">
      <w:pPr>
        <w:tabs>
          <w:tab w:val="left" w:pos="2340"/>
          <w:tab w:val="center" w:pos="4932"/>
        </w:tabs>
        <w:spacing w:line="550" w:lineRule="exact"/>
        <w:ind w:left="276" w:leftChars="138" w:firstLine="640" w:firstLineChars="200"/>
        <w:rPr>
          <w:rFonts w:hint="eastAsia" w:ascii="宋体" w:hAnsi="宋体" w:cs="新宋体"/>
          <w:color w:val="000000"/>
          <w:sz w:val="32"/>
          <w:szCs w:val="32"/>
        </w:rPr>
      </w:pPr>
      <w:r>
        <w:rPr>
          <w:rFonts w:hint="eastAsia" w:ascii="宋体" w:hAnsi="宋体" w:cs="新宋体"/>
          <w:color w:val="000000"/>
          <w:sz w:val="32"/>
          <w:szCs w:val="32"/>
        </w:rPr>
        <w:t>合同签订地点：云南省.红河州.金平县.勐桥乡</w:t>
      </w:r>
    </w:p>
    <w:p w14:paraId="6AD4B278">
      <w:pPr>
        <w:tabs>
          <w:tab w:val="left" w:pos="2340"/>
          <w:tab w:val="center" w:pos="4932"/>
        </w:tabs>
        <w:spacing w:line="550" w:lineRule="exact"/>
        <w:ind w:left="276" w:leftChars="138" w:firstLine="640" w:firstLineChars="200"/>
        <w:jc w:val="left"/>
        <w:rPr>
          <w:rFonts w:hint="eastAsia" w:ascii="黑体" w:hAnsi="黑体" w:eastAsia="黑体" w:cs="黑体"/>
          <w:spacing w:val="-28"/>
          <w:kern w:val="15"/>
          <w:sz w:val="44"/>
          <w:szCs w:val="44"/>
        </w:rPr>
      </w:pPr>
      <w:r>
        <w:rPr>
          <w:rFonts w:hint="eastAsia" w:ascii="宋体" w:hAnsi="宋体" w:cs="新宋体"/>
          <w:color w:val="000000"/>
          <w:sz w:val="32"/>
          <w:szCs w:val="32"/>
        </w:rPr>
        <w:t>合同签订日期：</w:t>
      </w:r>
      <w:r>
        <w:rPr>
          <w:rFonts w:hint="eastAsia" w:ascii="宋体" w:hAnsi="宋体" w:cs="新宋体"/>
          <w:color w:val="000000"/>
          <w:sz w:val="32"/>
          <w:szCs w:val="32"/>
          <w:lang w:val="en-US" w:eastAsia="zh-CN"/>
        </w:rPr>
        <w:t xml:space="preserve">   </w:t>
      </w:r>
      <w:r>
        <w:rPr>
          <w:rFonts w:hint="eastAsia" w:ascii="宋体" w:hAnsi="宋体" w:cs="新宋体"/>
          <w:color w:val="000000"/>
          <w:sz w:val="32"/>
          <w:szCs w:val="32"/>
        </w:rPr>
        <w:t>年     月     日</w:t>
      </w:r>
    </w:p>
    <w:p w14:paraId="56995549">
      <w:pPr>
        <w:tabs>
          <w:tab w:val="left" w:pos="2340"/>
          <w:tab w:val="center" w:pos="4932"/>
        </w:tabs>
        <w:spacing w:line="550" w:lineRule="exact"/>
        <w:ind w:left="276" w:leftChars="138" w:firstLine="640" w:firstLineChars="200"/>
        <w:rPr>
          <w:rFonts w:hint="eastAsia" w:ascii="宋体" w:hAnsi="宋体" w:cs="新宋体"/>
          <w:color w:val="000000"/>
          <w:sz w:val="32"/>
          <w:szCs w:val="32"/>
        </w:rPr>
      </w:pPr>
    </w:p>
    <w:p w14:paraId="1AB385D1">
      <w:pPr>
        <w:spacing w:line="580" w:lineRule="exact"/>
        <w:jc w:val="center"/>
        <w:rPr>
          <w:rFonts w:hint="eastAsia" w:ascii="黑体" w:hAnsi="黑体" w:eastAsia="黑体" w:cs="黑体"/>
          <w:kern w:val="15"/>
          <w:sz w:val="44"/>
          <w:szCs w:val="44"/>
        </w:rPr>
      </w:pPr>
      <w:r>
        <w:rPr>
          <w:rFonts w:hint="eastAsia" w:ascii="黑体" w:hAnsi="黑体" w:eastAsia="黑体" w:cs="黑体"/>
          <w:spacing w:val="-28"/>
          <w:kern w:val="15"/>
          <w:sz w:val="44"/>
          <w:szCs w:val="44"/>
        </w:rPr>
        <w:t>金平昆钢金河有限责任公司马鞍山1#排土场砌筑790m-830m左岸截洪沟、沉砂池及涵管埋设安全措施工程施工合同</w:t>
      </w:r>
    </w:p>
    <w:p w14:paraId="794D1DBA">
      <w:pPr>
        <w:spacing w:line="540" w:lineRule="exact"/>
        <w:rPr>
          <w:rFonts w:hint="eastAsia" w:ascii="宋体" w:hAnsi="宋体" w:cs="新宋体"/>
          <w:b/>
          <w:color w:val="000000"/>
          <w:sz w:val="28"/>
          <w:szCs w:val="28"/>
        </w:rPr>
      </w:pPr>
    </w:p>
    <w:p w14:paraId="2C85C955">
      <w:pPr>
        <w:spacing w:line="540" w:lineRule="exact"/>
        <w:rPr>
          <w:rFonts w:hint="eastAsia" w:ascii="宋体" w:hAnsi="宋体"/>
          <w:b/>
          <w:bCs/>
          <w:sz w:val="24"/>
          <w:szCs w:val="24"/>
        </w:rPr>
      </w:pPr>
      <w:r>
        <w:rPr>
          <w:rFonts w:hint="eastAsia" w:ascii="宋体" w:hAnsi="宋体" w:cs="新宋体"/>
          <w:b/>
          <w:color w:val="000000"/>
          <w:sz w:val="24"/>
          <w:szCs w:val="24"/>
        </w:rPr>
        <w:t>发包人</w:t>
      </w:r>
      <w:r>
        <w:rPr>
          <w:rFonts w:hint="eastAsia" w:ascii="宋体" w:hAnsi="宋体"/>
          <w:b/>
          <w:bCs/>
          <w:sz w:val="24"/>
          <w:szCs w:val="24"/>
        </w:rPr>
        <w:t>：金平昆钢金河有限责任公司（以下称“甲方”）</w:t>
      </w:r>
    </w:p>
    <w:p w14:paraId="201E6E6F">
      <w:pPr>
        <w:tabs>
          <w:tab w:val="left" w:pos="2340"/>
          <w:tab w:val="center" w:pos="4932"/>
        </w:tabs>
        <w:spacing w:line="540" w:lineRule="exact"/>
        <w:rPr>
          <w:rFonts w:hint="eastAsia" w:ascii="宋体" w:hAnsi="宋体" w:eastAsia="宋体"/>
          <w:b/>
          <w:bCs/>
          <w:sz w:val="24"/>
          <w:szCs w:val="24"/>
          <w:lang w:eastAsia="zh-CN"/>
        </w:rPr>
      </w:pPr>
      <w:r>
        <w:rPr>
          <w:rFonts w:hint="eastAsia" w:ascii="宋体" w:hAnsi="宋体"/>
          <w:b/>
          <w:bCs/>
          <w:sz w:val="24"/>
          <w:szCs w:val="24"/>
        </w:rPr>
        <w:t>法定代表人：</w:t>
      </w:r>
      <w:r>
        <w:rPr>
          <w:rFonts w:hint="eastAsia" w:ascii="宋体" w:hAnsi="宋体"/>
          <w:b/>
          <w:bCs/>
          <w:color w:val="auto"/>
          <w:sz w:val="24"/>
          <w:szCs w:val="24"/>
          <w:lang w:val="en-US" w:eastAsia="zh-CN"/>
        </w:rPr>
        <w:t>马福辉</w:t>
      </w:r>
    </w:p>
    <w:p w14:paraId="70721CFD">
      <w:pPr>
        <w:tabs>
          <w:tab w:val="left" w:pos="2340"/>
          <w:tab w:val="center" w:pos="4932"/>
        </w:tabs>
        <w:spacing w:line="540" w:lineRule="exact"/>
        <w:rPr>
          <w:rFonts w:hint="eastAsia" w:ascii="宋体" w:hAnsi="宋体"/>
          <w:b/>
          <w:bCs/>
          <w:sz w:val="24"/>
          <w:szCs w:val="24"/>
        </w:rPr>
      </w:pPr>
      <w:r>
        <w:rPr>
          <w:rFonts w:hint="eastAsia" w:ascii="宋体" w:hAnsi="宋体"/>
          <w:b/>
          <w:bCs/>
          <w:sz w:val="24"/>
          <w:szCs w:val="24"/>
        </w:rPr>
        <w:t>地址：云南省红河州金平县勐桥乡</w:t>
      </w:r>
    </w:p>
    <w:p w14:paraId="6E842A37">
      <w:pPr>
        <w:tabs>
          <w:tab w:val="left" w:pos="2340"/>
          <w:tab w:val="center" w:pos="4932"/>
        </w:tabs>
        <w:spacing w:line="540" w:lineRule="exact"/>
        <w:rPr>
          <w:rFonts w:hint="eastAsia" w:ascii="宋体" w:hAnsi="宋体"/>
          <w:b/>
          <w:bCs/>
          <w:sz w:val="24"/>
          <w:szCs w:val="24"/>
        </w:rPr>
      </w:pPr>
    </w:p>
    <w:p w14:paraId="21D0C9CD">
      <w:pPr>
        <w:tabs>
          <w:tab w:val="left" w:pos="2340"/>
          <w:tab w:val="center" w:pos="4932"/>
        </w:tabs>
        <w:spacing w:line="540" w:lineRule="exact"/>
        <w:rPr>
          <w:rFonts w:hint="eastAsia" w:ascii="宋体" w:hAnsi="宋体"/>
          <w:b/>
          <w:bCs/>
          <w:sz w:val="24"/>
          <w:szCs w:val="24"/>
        </w:rPr>
      </w:pPr>
      <w:r>
        <w:rPr>
          <w:rFonts w:hint="eastAsia" w:ascii="宋体" w:hAnsi="宋体"/>
          <w:b/>
          <w:bCs/>
          <w:sz w:val="24"/>
          <w:szCs w:val="24"/>
        </w:rPr>
        <w:t>承包人：</w:t>
      </w:r>
      <w:r>
        <w:rPr>
          <w:rFonts w:hint="eastAsia" w:ascii="宋体" w:hAnsi="宋体"/>
          <w:b/>
          <w:bCs/>
          <w:sz w:val="24"/>
          <w:szCs w:val="24"/>
          <w:lang w:val="en-US" w:eastAsia="zh-CN"/>
        </w:rPr>
        <w:t>XXXX</w:t>
      </w:r>
      <w:r>
        <w:rPr>
          <w:rFonts w:hint="eastAsia" w:ascii="宋体" w:hAnsi="宋体"/>
          <w:b/>
          <w:bCs/>
          <w:sz w:val="24"/>
          <w:szCs w:val="24"/>
        </w:rPr>
        <w:t>（以下称“乙方”）</w:t>
      </w:r>
    </w:p>
    <w:p w14:paraId="281682AF">
      <w:pPr>
        <w:tabs>
          <w:tab w:val="left" w:pos="2340"/>
          <w:tab w:val="center" w:pos="4932"/>
        </w:tabs>
        <w:spacing w:line="540" w:lineRule="exact"/>
        <w:rPr>
          <w:rFonts w:hint="eastAsia" w:ascii="宋体" w:hAnsi="宋体" w:eastAsia="宋体"/>
          <w:b/>
          <w:bCs/>
          <w:sz w:val="24"/>
          <w:szCs w:val="24"/>
          <w:lang w:eastAsia="zh-CN"/>
        </w:rPr>
      </w:pPr>
      <w:r>
        <w:rPr>
          <w:rFonts w:hint="eastAsia" w:ascii="宋体" w:hAnsi="宋体"/>
          <w:b/>
          <w:bCs/>
          <w:sz w:val="24"/>
          <w:szCs w:val="24"/>
        </w:rPr>
        <w:t>法定代表人：</w:t>
      </w:r>
      <w:r>
        <w:rPr>
          <w:rFonts w:hint="eastAsia" w:ascii="宋体" w:hAnsi="宋体"/>
          <w:b/>
          <w:bCs/>
          <w:sz w:val="24"/>
          <w:szCs w:val="24"/>
          <w:lang w:val="en-US" w:eastAsia="zh-CN"/>
        </w:rPr>
        <w:t>XXX</w:t>
      </w:r>
    </w:p>
    <w:p w14:paraId="323D3D9F">
      <w:pPr>
        <w:spacing w:line="540" w:lineRule="exact"/>
        <w:rPr>
          <w:rFonts w:hint="eastAsia" w:ascii="宋体" w:hAnsi="宋体" w:eastAsia="宋体"/>
          <w:b/>
          <w:bCs/>
          <w:sz w:val="24"/>
          <w:szCs w:val="24"/>
          <w:lang w:val="en-US" w:eastAsia="zh-CN"/>
        </w:rPr>
      </w:pPr>
      <w:r>
        <w:rPr>
          <w:rFonts w:hint="eastAsia" w:ascii="宋体" w:hAnsi="宋体"/>
          <w:b/>
          <w:bCs/>
          <w:sz w:val="24"/>
          <w:szCs w:val="24"/>
        </w:rPr>
        <w:t>地址：</w:t>
      </w:r>
      <w:r>
        <w:rPr>
          <w:rFonts w:hint="eastAsia" w:ascii="宋体" w:hAnsi="宋体"/>
          <w:b/>
          <w:bCs/>
          <w:sz w:val="24"/>
          <w:szCs w:val="24"/>
          <w:lang w:val="en-US" w:eastAsia="zh-CN"/>
        </w:rPr>
        <w:t>XXXXX</w:t>
      </w:r>
    </w:p>
    <w:p w14:paraId="64F14E52">
      <w:pPr>
        <w:pStyle w:val="5"/>
        <w:ind w:firstLine="0" w:firstLineChars="0"/>
        <w:rPr>
          <w:rFonts w:hint="eastAsia"/>
          <w:sz w:val="24"/>
          <w:szCs w:val="24"/>
        </w:rPr>
      </w:pPr>
    </w:p>
    <w:p w14:paraId="5CC6A3CE">
      <w:pPr>
        <w:spacing w:line="54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依据《中华人民共和国民法典》《中华人民共和国建筑法》及有关法律规定，遵循平等、自愿、公平和诚实守信的原则，经甲、乙双方协商一致，签订本合同，供双方共同遵守执行。</w:t>
      </w:r>
    </w:p>
    <w:p w14:paraId="44FB2463">
      <w:pPr>
        <w:tabs>
          <w:tab w:val="left" w:pos="2340"/>
          <w:tab w:val="center" w:pos="4932"/>
        </w:tabs>
        <w:spacing w:line="540" w:lineRule="exact"/>
        <w:ind w:firstLine="480" w:firstLineChars="200"/>
        <w:rPr>
          <w:rFonts w:hint="eastAsia" w:ascii="黑体" w:hAnsi="黑体" w:eastAsia="黑体" w:cs="黑体"/>
          <w:bCs/>
          <w:color w:val="000000"/>
          <w:sz w:val="24"/>
          <w:szCs w:val="24"/>
        </w:rPr>
      </w:pPr>
    </w:p>
    <w:p w14:paraId="1685722D">
      <w:pPr>
        <w:numPr>
          <w:ilvl w:val="0"/>
          <w:numId w:val="11"/>
        </w:numPr>
        <w:tabs>
          <w:tab w:val="left" w:pos="2340"/>
          <w:tab w:val="center" w:pos="4932"/>
        </w:tabs>
        <w:spacing w:line="540" w:lineRule="exact"/>
        <w:ind w:firstLine="480" w:firstLineChars="200"/>
        <w:rPr>
          <w:rFonts w:hint="eastAsia" w:ascii="宋体" w:hAnsi="宋体" w:eastAsia="宋体" w:cs="宋体"/>
          <w:color w:val="000000"/>
          <w:spacing w:val="0"/>
          <w:kern w:val="2"/>
          <w:sz w:val="24"/>
          <w:szCs w:val="24"/>
        </w:rPr>
      </w:pPr>
      <w:r>
        <w:rPr>
          <w:rFonts w:hint="eastAsia" w:ascii="黑体" w:hAnsi="黑体" w:eastAsia="黑体" w:cs="黑体"/>
          <w:bCs/>
          <w:color w:val="000000"/>
          <w:sz w:val="24"/>
          <w:szCs w:val="24"/>
        </w:rPr>
        <w:t>工程名称：</w:t>
      </w:r>
      <w:r>
        <w:rPr>
          <w:rFonts w:hint="eastAsia" w:ascii="宋体" w:hAnsi="宋体" w:eastAsia="宋体" w:cs="宋体"/>
          <w:color w:val="000000"/>
          <w:spacing w:val="0"/>
          <w:kern w:val="2"/>
          <w:sz w:val="24"/>
          <w:szCs w:val="24"/>
        </w:rPr>
        <w:t>金平昆钢金河有限责任公司马鞍山1#排土场砌筑790m-830m左岸截洪沟、沉砂池及涵管埋设安全措施工程</w:t>
      </w:r>
    </w:p>
    <w:p w14:paraId="0BF505B4">
      <w:pPr>
        <w:numPr>
          <w:ilvl w:val="-1"/>
          <w:numId w:val="0"/>
        </w:numPr>
        <w:tabs>
          <w:tab w:val="left" w:pos="2340"/>
          <w:tab w:val="center" w:pos="4932"/>
        </w:tabs>
        <w:spacing w:line="540" w:lineRule="exact"/>
        <w:ind w:firstLine="0" w:firstLineChars="0"/>
        <w:rPr>
          <w:rFonts w:hint="eastAsia" w:ascii="宋体" w:hAnsi="宋体" w:cs="宋体"/>
          <w:sz w:val="24"/>
          <w:szCs w:val="24"/>
        </w:rPr>
      </w:pPr>
      <w:r>
        <w:rPr>
          <w:rFonts w:hint="default" w:ascii="宋体" w:hAnsi="宋体" w:cs="宋体"/>
          <w:color w:val="000000"/>
          <w:sz w:val="24"/>
          <w:szCs w:val="24"/>
          <w:lang w:val="en-US" w:eastAsia="zh-CN"/>
        </w:rPr>
        <w:t xml:space="preserve">    </w:t>
      </w:r>
      <w:r>
        <w:rPr>
          <w:rFonts w:hint="eastAsia" w:ascii="黑体" w:hAnsi="黑体" w:eastAsia="黑体" w:cs="黑体"/>
          <w:b w:val="0"/>
          <w:bCs/>
          <w:color w:val="000000"/>
          <w:sz w:val="24"/>
          <w:szCs w:val="24"/>
        </w:rPr>
        <w:t>二</w:t>
      </w:r>
      <w:r>
        <w:rPr>
          <w:rFonts w:hint="eastAsia" w:ascii="黑体" w:hAnsi="黑体" w:eastAsia="黑体" w:cs="黑体"/>
          <w:bCs/>
          <w:color w:val="000000"/>
          <w:sz w:val="24"/>
          <w:szCs w:val="24"/>
        </w:rPr>
        <w:t>、工程地点：</w:t>
      </w:r>
      <w:r>
        <w:rPr>
          <w:rFonts w:hint="eastAsia" w:ascii="宋体" w:hAnsi="宋体" w:cs="宋体"/>
          <w:sz w:val="24"/>
          <w:szCs w:val="24"/>
          <w:lang w:eastAsia="zh-CN"/>
        </w:rPr>
        <w:t>发包人</w:t>
      </w:r>
      <w:r>
        <w:rPr>
          <w:rFonts w:hint="eastAsia" w:ascii="宋体" w:hAnsi="宋体" w:cs="宋体"/>
          <w:sz w:val="24"/>
          <w:szCs w:val="24"/>
        </w:rPr>
        <w:t>所属</w:t>
      </w:r>
      <w:r>
        <w:rPr>
          <w:rFonts w:hint="eastAsia" w:ascii="宋体" w:hAnsi="宋体" w:cs="宋体"/>
          <w:sz w:val="24"/>
          <w:szCs w:val="24"/>
          <w:lang w:val="en-US" w:eastAsia="zh-CN"/>
        </w:rPr>
        <w:t>马鞍山铁矿</w:t>
      </w:r>
      <w:r>
        <w:rPr>
          <w:rFonts w:hint="eastAsia" w:ascii="宋体" w:hAnsi="宋体" w:cs="宋体"/>
          <w:sz w:val="24"/>
          <w:szCs w:val="24"/>
        </w:rPr>
        <w:t>（以甲方指定地点为准）</w:t>
      </w:r>
    </w:p>
    <w:p w14:paraId="6D0A44CA">
      <w:pPr>
        <w:tabs>
          <w:tab w:val="left" w:pos="2340"/>
          <w:tab w:val="center" w:pos="4932"/>
        </w:tabs>
        <w:spacing w:line="540" w:lineRule="exact"/>
        <w:ind w:firstLine="480" w:firstLineChars="200"/>
        <w:rPr>
          <w:rFonts w:hint="eastAsia" w:ascii="黑体" w:hAnsi="黑体" w:eastAsia="黑体" w:cs="黑体"/>
          <w:bCs/>
          <w:color w:val="000000"/>
          <w:sz w:val="24"/>
          <w:szCs w:val="24"/>
        </w:rPr>
      </w:pPr>
      <w:r>
        <w:rPr>
          <w:rFonts w:hint="eastAsia" w:ascii="黑体" w:hAnsi="黑体" w:eastAsia="黑体" w:cs="黑体"/>
          <w:bCs/>
          <w:color w:val="000000"/>
          <w:sz w:val="24"/>
          <w:szCs w:val="24"/>
        </w:rPr>
        <w:t>三、工程承包范围及工程量</w:t>
      </w:r>
    </w:p>
    <w:p w14:paraId="51266F02">
      <w:pPr>
        <w:spacing w:line="540" w:lineRule="exact"/>
        <w:ind w:firstLine="480" w:firstLineChars="200"/>
        <w:rPr>
          <w:rFonts w:ascii="宋体" w:hAnsi="宋体" w:cs="宋体"/>
          <w:kern w:val="0"/>
          <w:sz w:val="24"/>
          <w:szCs w:val="24"/>
        </w:rPr>
      </w:pPr>
      <w:r>
        <w:rPr>
          <w:rFonts w:hint="eastAsia" w:ascii="宋体" w:hAnsi="宋体" w:cs="宋体"/>
          <w:kern w:val="0"/>
          <w:sz w:val="24"/>
          <w:szCs w:val="24"/>
        </w:rPr>
        <w:t>3.1 工程承包内容</w:t>
      </w:r>
    </w:p>
    <w:p w14:paraId="3678C025">
      <w:pPr>
        <w:tabs>
          <w:tab w:val="left" w:pos="2340"/>
          <w:tab w:val="center" w:pos="4932"/>
        </w:tabs>
        <w:spacing w:line="540" w:lineRule="exact"/>
        <w:ind w:firstLine="480" w:firstLineChars="200"/>
        <w:jc w:val="both"/>
        <w:rPr>
          <w:rFonts w:hint="eastAsia" w:ascii="宋体" w:hAnsi="宋体" w:cs="宋体"/>
          <w:color w:val="000000"/>
          <w:sz w:val="24"/>
          <w:szCs w:val="24"/>
        </w:rPr>
      </w:pPr>
      <w:r>
        <w:rPr>
          <w:rFonts w:hint="eastAsia" w:ascii="宋体" w:hAnsi="宋体" w:eastAsia="宋体" w:cs="宋体"/>
          <w:color w:val="000000"/>
          <w:sz w:val="24"/>
          <w:szCs w:val="24"/>
          <w:highlight w:val="none"/>
        </w:rPr>
        <w:t>工程主要内容为甲方所属土方开挖、砌筑毛石截洪沟、砌筑毛石沉砂池、运矿道路铺设φ500mm钢筋混凝土涵管</w:t>
      </w:r>
      <w:r>
        <w:rPr>
          <w:rFonts w:hint="eastAsia" w:ascii="宋体" w:hAnsi="宋体" w:eastAsia="宋体" w:cs="宋体"/>
          <w:color w:val="000000"/>
          <w:sz w:val="24"/>
          <w:szCs w:val="24"/>
          <w:highlight w:val="none"/>
          <w:lang w:val="en-US" w:eastAsia="zh-CN"/>
        </w:rPr>
        <w:t>（详见合同约定3.2），</w:t>
      </w:r>
      <w:r>
        <w:rPr>
          <w:rFonts w:hint="eastAsia" w:ascii="宋体" w:hAnsi="宋体" w:cs="宋体"/>
          <w:color w:val="000000"/>
          <w:sz w:val="24"/>
          <w:szCs w:val="24"/>
          <w:lang w:val="en-US" w:eastAsia="zh-CN"/>
        </w:rPr>
        <w:t>具体包括但不限于因完成此次</w:t>
      </w:r>
      <w:r>
        <w:rPr>
          <w:rFonts w:hint="eastAsia" w:ascii="宋体" w:hAnsi="宋体" w:cs="宋体"/>
          <w:color w:val="000000"/>
          <w:sz w:val="24"/>
          <w:szCs w:val="24"/>
        </w:rPr>
        <w:t>工程所必须的材料采购、工程（劳务）施工、资料归档、交工验收、交付使用等工作。</w:t>
      </w:r>
    </w:p>
    <w:p w14:paraId="20044668">
      <w:pPr>
        <w:spacing w:line="540" w:lineRule="exact"/>
        <w:rPr>
          <w:rFonts w:hint="eastAsia" w:ascii="宋体" w:hAnsi="宋体" w:cs="宋体"/>
          <w:kern w:val="0"/>
          <w:sz w:val="24"/>
          <w:szCs w:val="24"/>
        </w:rPr>
      </w:pPr>
    </w:p>
    <w:p w14:paraId="1EA3A171">
      <w:pPr>
        <w:spacing w:line="540" w:lineRule="exact"/>
        <w:ind w:firstLine="480" w:firstLineChars="200"/>
        <w:rPr>
          <w:rFonts w:hint="eastAsia" w:ascii="宋体" w:hAnsi="宋体" w:cs="宋体"/>
          <w:kern w:val="0"/>
          <w:sz w:val="24"/>
          <w:szCs w:val="24"/>
        </w:rPr>
      </w:pPr>
      <w:r>
        <w:rPr>
          <w:rFonts w:hint="eastAsia" w:ascii="宋体" w:hAnsi="宋体" w:cs="宋体"/>
          <w:kern w:val="0"/>
          <w:sz w:val="24"/>
          <w:szCs w:val="24"/>
        </w:rPr>
        <w:t>3.2 工程量清单及价格</w:t>
      </w:r>
    </w:p>
    <w:tbl>
      <w:tblPr>
        <w:tblStyle w:val="11"/>
        <w:tblW w:w="10286" w:type="dxa"/>
        <w:jc w:val="center"/>
        <w:tblLayout w:type="fixed"/>
        <w:tblCellMar>
          <w:top w:w="0" w:type="dxa"/>
          <w:left w:w="108" w:type="dxa"/>
          <w:bottom w:w="0" w:type="dxa"/>
          <w:right w:w="108" w:type="dxa"/>
        </w:tblCellMar>
      </w:tblPr>
      <w:tblGrid>
        <w:gridCol w:w="444"/>
        <w:gridCol w:w="1629"/>
        <w:gridCol w:w="5183"/>
        <w:gridCol w:w="733"/>
        <w:gridCol w:w="843"/>
        <w:gridCol w:w="727"/>
        <w:gridCol w:w="727"/>
      </w:tblGrid>
      <w:tr w14:paraId="3E41F2AD">
        <w:tblPrEx>
          <w:tblCellMar>
            <w:top w:w="0" w:type="dxa"/>
            <w:left w:w="108" w:type="dxa"/>
            <w:bottom w:w="0" w:type="dxa"/>
            <w:right w:w="108" w:type="dxa"/>
          </w:tblCellMar>
        </w:tblPrEx>
        <w:trPr>
          <w:trHeight w:val="871"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C8B75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序号</w:t>
            </w:r>
          </w:p>
        </w:tc>
        <w:tc>
          <w:tcPr>
            <w:tcW w:w="16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4D9F7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项目名称</w:t>
            </w:r>
          </w:p>
        </w:tc>
        <w:tc>
          <w:tcPr>
            <w:tcW w:w="51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C9037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项目特征</w:t>
            </w:r>
          </w:p>
        </w:tc>
        <w:tc>
          <w:tcPr>
            <w:tcW w:w="7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B2F31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rPr>
              <w:t>计量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单位</w:t>
            </w:r>
          </w:p>
        </w:tc>
        <w:tc>
          <w:tcPr>
            <w:tcW w:w="8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67FF0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lang w:val="en-US" w:eastAsia="zh-CN"/>
              </w:rPr>
              <w:t>预计</w:t>
            </w:r>
            <w:r>
              <w:rPr>
                <w:rFonts w:hint="eastAsia" w:ascii="宋体" w:hAnsi="宋体" w:cs="宋体"/>
                <w:color w:val="000000"/>
                <w:kern w:val="0"/>
                <w:sz w:val="24"/>
                <w:szCs w:val="24"/>
              </w:rPr>
              <w:t>工程量</w:t>
            </w:r>
          </w:p>
        </w:tc>
        <w:tc>
          <w:tcPr>
            <w:tcW w:w="7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07CD82D">
            <w:pPr>
              <w:keepNext w:val="0"/>
              <w:keepLines w:val="0"/>
              <w:pageBreakBefore w:val="0"/>
              <w:widowControl/>
              <w:kinsoku/>
              <w:wordWrap/>
              <w:overflowPunct/>
              <w:topLinePunct w:val="0"/>
              <w:autoSpaceDE/>
              <w:autoSpaceDN/>
              <w:bidi w:val="0"/>
              <w:adjustRightInd/>
              <w:snapToGrid/>
              <w:spacing w:line="320" w:lineRule="exact"/>
              <w:jc w:val="center"/>
              <w:textAlignment w:val="auto"/>
              <w:rPr>
                <w:b w:val="0"/>
                <w:bCs/>
                <w:sz w:val="24"/>
                <w:szCs w:val="24"/>
              </w:rPr>
            </w:pPr>
            <w:r>
              <w:rPr>
                <w:rFonts w:hint="eastAsia" w:ascii="宋体" w:hAnsi="宋体" w:cs="宋体"/>
                <w:color w:val="000000"/>
                <w:kern w:val="0"/>
                <w:sz w:val="24"/>
                <w:szCs w:val="24"/>
                <w:lang w:val="en-US" w:eastAsia="zh-CN"/>
              </w:rPr>
              <w:t>单价</w:t>
            </w:r>
          </w:p>
        </w:tc>
        <w:tc>
          <w:tcPr>
            <w:tcW w:w="7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7B1D8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小计</w:t>
            </w:r>
          </w:p>
        </w:tc>
      </w:tr>
      <w:tr w14:paraId="33DBBE8E">
        <w:tblPrEx>
          <w:tblCellMar>
            <w:top w:w="0" w:type="dxa"/>
            <w:left w:w="108" w:type="dxa"/>
            <w:bottom w:w="0" w:type="dxa"/>
            <w:right w:w="108" w:type="dxa"/>
          </w:tblCellMar>
        </w:tblPrEx>
        <w:trPr>
          <w:trHeight w:val="524" w:hRule="atLeast"/>
          <w:jc w:val="center"/>
        </w:trPr>
        <w:tc>
          <w:tcPr>
            <w:tcW w:w="10286" w:type="dxa"/>
            <w:gridSpan w:val="7"/>
            <w:tcBorders>
              <w:top w:val="single" w:color="auto" w:sz="4" w:space="0"/>
              <w:left w:val="single" w:color="auto" w:sz="4" w:space="0"/>
              <w:bottom w:val="single" w:color="auto" w:sz="4" w:space="0"/>
              <w:right w:val="single" w:color="auto" w:sz="4" w:space="0"/>
            </w:tcBorders>
            <w:shd w:val="clear" w:color="auto" w:fill="FFFFFF"/>
            <w:noWrap w:val="0"/>
            <w:vAlign w:val="center"/>
          </w:tcPr>
          <w:p w14:paraId="2288A32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一、马鞍山1#排土场790m-830m截洪沟</w:t>
            </w:r>
          </w:p>
        </w:tc>
      </w:tr>
      <w:tr w14:paraId="5D220DA9">
        <w:tblPrEx>
          <w:tblCellMar>
            <w:top w:w="0" w:type="dxa"/>
            <w:left w:w="108" w:type="dxa"/>
            <w:bottom w:w="0" w:type="dxa"/>
            <w:right w:w="108" w:type="dxa"/>
          </w:tblCellMar>
        </w:tblPrEx>
        <w:trPr>
          <w:trHeight w:val="1303"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1FFD747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1</w:t>
            </w:r>
          </w:p>
        </w:tc>
        <w:tc>
          <w:tcPr>
            <w:tcW w:w="1629" w:type="dxa"/>
            <w:tcBorders>
              <w:top w:val="nil"/>
              <w:left w:val="nil"/>
              <w:bottom w:val="single" w:color="auto" w:sz="4" w:space="0"/>
              <w:right w:val="single" w:color="auto" w:sz="4" w:space="0"/>
            </w:tcBorders>
            <w:shd w:val="clear" w:color="auto" w:fill="FFFFFF"/>
            <w:noWrap w:val="0"/>
            <w:vAlign w:val="center"/>
          </w:tcPr>
          <w:p w14:paraId="7D8E24FE">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土方开挖（含清基）</w:t>
            </w:r>
          </w:p>
        </w:tc>
        <w:tc>
          <w:tcPr>
            <w:tcW w:w="5183" w:type="dxa"/>
            <w:tcBorders>
              <w:top w:val="nil"/>
              <w:left w:val="nil"/>
              <w:bottom w:val="single" w:color="auto" w:sz="4" w:space="0"/>
              <w:right w:val="single" w:color="auto" w:sz="4" w:space="0"/>
            </w:tcBorders>
            <w:shd w:val="clear" w:color="auto" w:fill="FFFFFF"/>
            <w:noWrap w:val="0"/>
            <w:vAlign w:val="center"/>
          </w:tcPr>
          <w:p w14:paraId="3632FCA4">
            <w:pPr>
              <w:keepNext w:val="0"/>
              <w:keepLines w:val="0"/>
              <w:pageBreakBefore w:val="0"/>
              <w:widowControl/>
              <w:numPr>
                <w:ilvl w:val="0"/>
                <w:numId w:val="12"/>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1889F17A">
            <w:pPr>
              <w:keepNext w:val="0"/>
              <w:keepLines w:val="0"/>
              <w:pageBreakBefore w:val="0"/>
              <w:widowControl/>
              <w:numPr>
                <w:ilvl w:val="0"/>
                <w:numId w:val="12"/>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深度：1.5米，长度：170</w:t>
            </w:r>
            <w:r>
              <w:rPr>
                <w:rFonts w:hint="eastAsia" w:ascii="宋体" w:hAnsi="宋体" w:eastAsia="宋体" w:cs="Times New Roman"/>
                <w:sz w:val="24"/>
                <w:szCs w:val="24"/>
                <w:highlight w:val="none"/>
                <w:lang w:val="en-US" w:eastAsia="zh-CN"/>
              </w:rPr>
              <w:t>米</w:t>
            </w:r>
            <w:r>
              <w:rPr>
                <w:rFonts w:hint="eastAsia" w:ascii="宋体" w:hAnsi="宋体" w:eastAsia="宋体" w:cs="Times New Roman"/>
                <w:sz w:val="24"/>
                <w:szCs w:val="24"/>
                <w:lang w:val="en-US" w:eastAsia="zh-CN"/>
              </w:rPr>
              <w:t>，宽1.6米；</w:t>
            </w:r>
          </w:p>
          <w:p w14:paraId="4157DD57">
            <w:pPr>
              <w:keepNext w:val="0"/>
              <w:keepLines w:val="0"/>
              <w:pageBreakBefore w:val="0"/>
              <w:widowControl/>
              <w:numPr>
                <w:ilvl w:val="0"/>
                <w:numId w:val="12"/>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0B6A4A91">
            <w:pPr>
              <w:keepNext w:val="0"/>
              <w:keepLines w:val="0"/>
              <w:pageBreakBefore w:val="0"/>
              <w:widowControl/>
              <w:numPr>
                <w:ilvl w:val="-1"/>
                <w:numId w:val="0"/>
              </w:numPr>
              <w:kinsoku/>
              <w:wordWrap/>
              <w:overflowPunct/>
              <w:topLinePunct w:val="0"/>
              <w:autoSpaceDE/>
              <w:autoSpaceDN/>
              <w:bidi w:val="0"/>
              <w:adjustRightInd/>
              <w:snapToGrid/>
              <w:spacing w:line="320" w:lineRule="exact"/>
              <w:ind w:left="0" w:firstLine="0"/>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6DC32F8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nil"/>
              <w:left w:val="nil"/>
              <w:bottom w:val="single" w:color="auto" w:sz="4" w:space="0"/>
              <w:right w:val="single" w:color="auto" w:sz="4" w:space="0"/>
            </w:tcBorders>
            <w:shd w:val="clear" w:color="auto" w:fill="FFFFFF"/>
            <w:noWrap w:val="0"/>
            <w:vAlign w:val="center"/>
          </w:tcPr>
          <w:p w14:paraId="0274F78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408</w:t>
            </w:r>
          </w:p>
        </w:tc>
        <w:tc>
          <w:tcPr>
            <w:tcW w:w="727" w:type="dxa"/>
            <w:tcBorders>
              <w:top w:val="nil"/>
              <w:left w:val="nil"/>
              <w:bottom w:val="single" w:color="auto" w:sz="4" w:space="0"/>
              <w:right w:val="single" w:color="auto" w:sz="4" w:space="0"/>
            </w:tcBorders>
            <w:shd w:val="clear" w:color="auto" w:fill="FFFFFF"/>
            <w:noWrap w:val="0"/>
            <w:vAlign w:val="center"/>
          </w:tcPr>
          <w:p w14:paraId="42EEAB3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nil"/>
              <w:left w:val="nil"/>
              <w:bottom w:val="single" w:color="auto" w:sz="4" w:space="0"/>
              <w:right w:val="single" w:color="auto" w:sz="4" w:space="0"/>
            </w:tcBorders>
            <w:shd w:val="clear" w:color="auto" w:fill="FFFFFF"/>
            <w:noWrap w:val="0"/>
            <w:vAlign w:val="center"/>
          </w:tcPr>
          <w:p w14:paraId="110CD3C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6598E8A9">
        <w:tblPrEx>
          <w:tblCellMar>
            <w:top w:w="0" w:type="dxa"/>
            <w:left w:w="108" w:type="dxa"/>
            <w:bottom w:w="0" w:type="dxa"/>
            <w:right w:w="108" w:type="dxa"/>
          </w:tblCellMar>
        </w:tblPrEx>
        <w:trPr>
          <w:trHeight w:val="1519"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311A6F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1629" w:type="dxa"/>
            <w:tcBorders>
              <w:top w:val="nil"/>
              <w:left w:val="nil"/>
              <w:bottom w:val="single" w:color="auto" w:sz="4" w:space="0"/>
              <w:right w:val="single" w:color="auto" w:sz="4" w:space="0"/>
            </w:tcBorders>
            <w:shd w:val="clear" w:color="auto" w:fill="FFFFFF"/>
            <w:noWrap w:val="0"/>
            <w:vAlign w:val="center"/>
          </w:tcPr>
          <w:p w14:paraId="70455A2C">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砌筑毛石截洪沟</w:t>
            </w:r>
          </w:p>
        </w:tc>
        <w:tc>
          <w:tcPr>
            <w:tcW w:w="5183" w:type="dxa"/>
            <w:tcBorders>
              <w:top w:val="nil"/>
              <w:left w:val="nil"/>
              <w:bottom w:val="single" w:color="auto" w:sz="4" w:space="0"/>
              <w:right w:val="single" w:color="auto" w:sz="4" w:space="0"/>
            </w:tcBorders>
            <w:shd w:val="clear" w:color="auto" w:fill="FFFFFF"/>
            <w:noWrap w:val="0"/>
            <w:vAlign w:val="center"/>
          </w:tcPr>
          <w:p w14:paraId="22D17E1A">
            <w:pPr>
              <w:keepNext w:val="0"/>
              <w:keepLines w:val="0"/>
              <w:pageBreakBefore w:val="0"/>
              <w:widowControl/>
              <w:numPr>
                <w:ilvl w:val="0"/>
                <w:numId w:val="1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砂浆强度等级:水泥砂浆M7.5；</w:t>
            </w:r>
          </w:p>
          <w:p w14:paraId="4A3EE2CE">
            <w:pPr>
              <w:keepNext w:val="0"/>
              <w:keepLines w:val="0"/>
              <w:pageBreakBefore w:val="0"/>
              <w:widowControl/>
              <w:numPr>
                <w:ilvl w:val="0"/>
                <w:numId w:val="1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石料材质：石料应采用质地坚硬、不易风化的材料，且无裂纹；</w:t>
            </w:r>
          </w:p>
          <w:p w14:paraId="2B398AAA">
            <w:pPr>
              <w:keepNext w:val="0"/>
              <w:keepLines w:val="0"/>
              <w:pageBreakBefore w:val="0"/>
              <w:widowControl/>
              <w:numPr>
                <w:ilvl w:val="0"/>
                <w:numId w:val="1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排水设计：坡度与排土场坡度一致；</w:t>
            </w:r>
          </w:p>
          <w:p w14:paraId="67A51D22">
            <w:pPr>
              <w:keepNext w:val="0"/>
              <w:keepLines w:val="0"/>
              <w:pageBreakBefore w:val="0"/>
              <w:widowControl/>
              <w:numPr>
                <w:ilvl w:val="0"/>
                <w:numId w:val="1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截洪沟两侧回填；</w:t>
            </w:r>
          </w:p>
          <w:p w14:paraId="74806F86">
            <w:pPr>
              <w:keepNext w:val="0"/>
              <w:keepLines w:val="0"/>
              <w:pageBreakBefore w:val="0"/>
              <w:widowControl/>
              <w:numPr>
                <w:ilvl w:val="0"/>
                <w:numId w:val="1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含运输、砌筑、二次搬运等一切工作内容；</w:t>
            </w:r>
          </w:p>
          <w:p w14:paraId="45700C11">
            <w:pPr>
              <w:keepNext w:val="0"/>
              <w:keepLines w:val="0"/>
              <w:pageBreakBefore w:val="0"/>
              <w:widowControl/>
              <w:numPr>
                <w:ilvl w:val="0"/>
                <w:numId w:val="13"/>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3B0DAD2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nil"/>
              <w:left w:val="nil"/>
              <w:bottom w:val="single" w:color="auto" w:sz="4" w:space="0"/>
              <w:right w:val="single" w:color="auto" w:sz="4" w:space="0"/>
            </w:tcBorders>
            <w:shd w:val="clear" w:color="auto" w:fill="FFFFFF"/>
            <w:noWrap w:val="0"/>
            <w:vAlign w:val="center"/>
          </w:tcPr>
          <w:p w14:paraId="2141EB3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217.6</w:t>
            </w:r>
          </w:p>
        </w:tc>
        <w:tc>
          <w:tcPr>
            <w:tcW w:w="727" w:type="dxa"/>
            <w:tcBorders>
              <w:top w:val="nil"/>
              <w:left w:val="nil"/>
              <w:bottom w:val="single" w:color="auto" w:sz="4" w:space="0"/>
              <w:right w:val="single" w:color="auto" w:sz="4" w:space="0"/>
            </w:tcBorders>
            <w:shd w:val="clear" w:color="auto" w:fill="FFFFFF"/>
            <w:noWrap w:val="0"/>
            <w:vAlign w:val="center"/>
          </w:tcPr>
          <w:p w14:paraId="08B4332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nil"/>
              <w:left w:val="nil"/>
              <w:bottom w:val="single" w:color="auto" w:sz="4" w:space="0"/>
              <w:right w:val="single" w:color="auto" w:sz="4" w:space="0"/>
            </w:tcBorders>
            <w:shd w:val="clear" w:color="auto" w:fill="FFFFFF"/>
            <w:noWrap w:val="0"/>
            <w:vAlign w:val="center"/>
          </w:tcPr>
          <w:p w14:paraId="4DFFECB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39083623">
        <w:tblPrEx>
          <w:tblCellMar>
            <w:top w:w="0" w:type="dxa"/>
            <w:left w:w="108" w:type="dxa"/>
            <w:bottom w:w="0" w:type="dxa"/>
            <w:right w:w="108" w:type="dxa"/>
          </w:tblCellMar>
        </w:tblPrEx>
        <w:trPr>
          <w:trHeight w:val="1519"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29DD34D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1629" w:type="dxa"/>
            <w:tcBorders>
              <w:top w:val="nil"/>
              <w:left w:val="nil"/>
              <w:bottom w:val="single" w:color="auto" w:sz="4" w:space="0"/>
              <w:right w:val="single" w:color="auto" w:sz="4" w:space="0"/>
            </w:tcBorders>
            <w:shd w:val="clear" w:color="auto" w:fill="FFFFFF"/>
            <w:noWrap w:val="0"/>
            <w:vAlign w:val="center"/>
          </w:tcPr>
          <w:p w14:paraId="0BD0A371">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hAnsi="宋体"/>
                <w:sz w:val="24"/>
                <w:szCs w:val="24"/>
              </w:rPr>
            </w:pPr>
            <w:r>
              <w:rPr>
                <w:rFonts w:hint="eastAsia" w:ascii="宋体" w:hAnsi="宋体" w:eastAsia="宋体" w:cs="Times New Roman"/>
                <w:sz w:val="24"/>
                <w:szCs w:val="24"/>
                <w:lang w:val="en-US" w:eastAsia="zh-CN"/>
              </w:rPr>
              <w:t>抹灰</w:t>
            </w:r>
          </w:p>
        </w:tc>
        <w:tc>
          <w:tcPr>
            <w:tcW w:w="5183" w:type="dxa"/>
            <w:tcBorders>
              <w:top w:val="nil"/>
              <w:left w:val="nil"/>
              <w:bottom w:val="single" w:color="auto" w:sz="4" w:space="0"/>
              <w:right w:val="single" w:color="auto" w:sz="4" w:space="0"/>
            </w:tcBorders>
            <w:shd w:val="clear" w:color="auto" w:fill="FFFFFF"/>
            <w:noWrap w:val="0"/>
            <w:vAlign w:val="center"/>
          </w:tcPr>
          <w:p w14:paraId="74BC9343">
            <w:pPr>
              <w:keepNext w:val="0"/>
              <w:keepLines w:val="0"/>
              <w:pageBreakBefore w:val="0"/>
              <w:widowControl/>
              <w:numPr>
                <w:ilvl w:val="0"/>
                <w:numId w:val="14"/>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位置:沟底、沟壁、沟顶；</w:t>
            </w:r>
          </w:p>
          <w:p w14:paraId="79BC698B">
            <w:pPr>
              <w:keepNext w:val="0"/>
              <w:keepLines w:val="0"/>
              <w:pageBreakBefore w:val="0"/>
              <w:widowControl/>
              <w:numPr>
                <w:ilvl w:val="0"/>
                <w:numId w:val="14"/>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砂浆强度等级：M7.5水泥砂浆；</w:t>
            </w:r>
          </w:p>
          <w:p w14:paraId="744DDD34">
            <w:pPr>
              <w:keepNext w:val="0"/>
              <w:keepLines w:val="0"/>
              <w:pageBreakBefore w:val="0"/>
              <w:widowControl/>
              <w:numPr>
                <w:ilvl w:val="0"/>
                <w:numId w:val="14"/>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2E38B40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rPr>
              <w:t>㎡</w:t>
            </w:r>
          </w:p>
        </w:tc>
        <w:tc>
          <w:tcPr>
            <w:tcW w:w="843" w:type="dxa"/>
            <w:tcBorders>
              <w:top w:val="nil"/>
              <w:left w:val="nil"/>
              <w:bottom w:val="single" w:color="auto" w:sz="4" w:space="0"/>
              <w:right w:val="single" w:color="auto" w:sz="4" w:space="0"/>
            </w:tcBorders>
            <w:shd w:val="clear" w:color="auto" w:fill="FFFFFF"/>
            <w:noWrap w:val="0"/>
            <w:vAlign w:val="center"/>
          </w:tcPr>
          <w:p w14:paraId="055DE1D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544</w:t>
            </w:r>
          </w:p>
        </w:tc>
        <w:tc>
          <w:tcPr>
            <w:tcW w:w="727" w:type="dxa"/>
            <w:tcBorders>
              <w:top w:val="nil"/>
              <w:left w:val="nil"/>
              <w:bottom w:val="single" w:color="auto" w:sz="4" w:space="0"/>
              <w:right w:val="single" w:color="auto" w:sz="4" w:space="0"/>
            </w:tcBorders>
            <w:shd w:val="clear" w:color="auto" w:fill="FFFFFF"/>
            <w:noWrap w:val="0"/>
            <w:vAlign w:val="center"/>
          </w:tcPr>
          <w:p w14:paraId="49873E2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nil"/>
              <w:left w:val="nil"/>
              <w:bottom w:val="single" w:color="auto" w:sz="4" w:space="0"/>
              <w:right w:val="single" w:color="auto" w:sz="4" w:space="0"/>
            </w:tcBorders>
            <w:shd w:val="clear" w:color="auto" w:fill="FFFFFF"/>
            <w:noWrap w:val="0"/>
            <w:vAlign w:val="center"/>
          </w:tcPr>
          <w:p w14:paraId="0F0170F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0FEF04D9">
        <w:tblPrEx>
          <w:tblCellMar>
            <w:top w:w="0" w:type="dxa"/>
            <w:left w:w="108" w:type="dxa"/>
            <w:bottom w:w="0" w:type="dxa"/>
            <w:right w:w="108" w:type="dxa"/>
          </w:tblCellMar>
        </w:tblPrEx>
        <w:trPr>
          <w:trHeight w:val="594" w:hRule="atLeast"/>
          <w:jc w:val="center"/>
        </w:trPr>
        <w:tc>
          <w:tcPr>
            <w:tcW w:w="10286" w:type="dxa"/>
            <w:gridSpan w:val="7"/>
            <w:tcBorders>
              <w:top w:val="nil"/>
              <w:left w:val="single" w:color="auto" w:sz="4" w:space="0"/>
              <w:bottom w:val="single" w:color="auto" w:sz="4" w:space="0"/>
              <w:right w:val="single" w:color="auto" w:sz="4" w:space="0"/>
            </w:tcBorders>
            <w:shd w:val="clear" w:color="auto" w:fill="FFFFFF"/>
            <w:noWrap w:val="0"/>
            <w:vAlign w:val="center"/>
          </w:tcPr>
          <w:p w14:paraId="0876FD0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sz w:val="24"/>
                <w:szCs w:val="24"/>
                <w:lang w:val="en-US" w:eastAsia="zh-CN"/>
              </w:rPr>
              <w:t>二、马鞍山1#排土场790m沉砂池</w:t>
            </w:r>
          </w:p>
        </w:tc>
      </w:tr>
      <w:tr w14:paraId="51C8A2F4">
        <w:tblPrEx>
          <w:tblCellMar>
            <w:top w:w="0" w:type="dxa"/>
            <w:left w:w="108" w:type="dxa"/>
            <w:bottom w:w="0" w:type="dxa"/>
            <w:right w:w="108" w:type="dxa"/>
          </w:tblCellMar>
        </w:tblPrEx>
        <w:trPr>
          <w:trHeight w:val="1519"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4A2C104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1629" w:type="dxa"/>
            <w:tcBorders>
              <w:top w:val="nil"/>
              <w:left w:val="nil"/>
              <w:bottom w:val="single" w:color="auto" w:sz="4" w:space="0"/>
              <w:right w:val="single" w:color="auto" w:sz="4" w:space="0"/>
            </w:tcBorders>
            <w:shd w:val="clear" w:color="auto" w:fill="FFFFFF"/>
            <w:noWrap w:val="0"/>
            <w:vAlign w:val="center"/>
          </w:tcPr>
          <w:p w14:paraId="2FBE9D81">
            <w:pPr>
              <w:keepNext w:val="0"/>
              <w:keepLines w:val="0"/>
              <w:pageBreakBefore w:val="0"/>
              <w:kinsoku/>
              <w:wordWrap/>
              <w:overflowPunct/>
              <w:topLinePunct w:val="0"/>
              <w:autoSpaceDE/>
              <w:autoSpaceDN/>
              <w:bidi w:val="0"/>
              <w:adjustRightInd/>
              <w:snapToGrid/>
              <w:spacing w:line="320" w:lineRule="exact"/>
              <w:textAlignment w:val="auto"/>
              <w:rPr>
                <w:rFonts w:hint="eastAsia" w:hAnsi="宋体"/>
                <w:sz w:val="24"/>
                <w:szCs w:val="24"/>
              </w:rPr>
            </w:pPr>
            <w:r>
              <w:rPr>
                <w:rFonts w:hint="eastAsia" w:ascii="宋体" w:hAnsi="宋体" w:eastAsia="宋体" w:cs="Times New Roman"/>
                <w:sz w:val="24"/>
                <w:szCs w:val="24"/>
                <w:lang w:val="en-US" w:eastAsia="zh-CN"/>
              </w:rPr>
              <w:t>土方开挖</w:t>
            </w:r>
          </w:p>
        </w:tc>
        <w:tc>
          <w:tcPr>
            <w:tcW w:w="5183" w:type="dxa"/>
            <w:tcBorders>
              <w:top w:val="nil"/>
              <w:left w:val="nil"/>
              <w:bottom w:val="single" w:color="auto" w:sz="4" w:space="0"/>
              <w:right w:val="single" w:color="auto" w:sz="4" w:space="0"/>
            </w:tcBorders>
            <w:shd w:val="clear" w:color="auto" w:fill="FFFFFF"/>
            <w:noWrap w:val="0"/>
            <w:vAlign w:val="center"/>
          </w:tcPr>
          <w:p w14:paraId="68BD1DA1">
            <w:pPr>
              <w:keepNext w:val="0"/>
              <w:keepLines w:val="0"/>
              <w:pageBreakBefore w:val="0"/>
              <w:widowControl w:val="0"/>
              <w:numPr>
                <w:ilvl w:val="0"/>
                <w:numId w:val="1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4AA06174">
            <w:pPr>
              <w:keepNext w:val="0"/>
              <w:keepLines w:val="0"/>
              <w:pageBreakBefore w:val="0"/>
              <w:widowControl w:val="0"/>
              <w:numPr>
                <w:ilvl w:val="0"/>
                <w:numId w:val="15"/>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开挖高度：2米，长度：3米，宽度：2.5米；</w:t>
            </w:r>
          </w:p>
          <w:p w14:paraId="0E32845A">
            <w:pPr>
              <w:keepNext w:val="0"/>
              <w:keepLines w:val="0"/>
              <w:pageBreakBefore w:val="0"/>
              <w:widowControl w:val="0"/>
              <w:numPr>
                <w:ilvl w:val="0"/>
                <w:numId w:val="1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6E4E0CFE">
            <w:pPr>
              <w:keepNext w:val="0"/>
              <w:keepLines w:val="0"/>
              <w:pageBreakBefore w:val="0"/>
              <w:widowControl w:val="0"/>
              <w:numPr>
                <w:ilvl w:val="0"/>
                <w:numId w:val="15"/>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656D759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nil"/>
              <w:left w:val="nil"/>
              <w:bottom w:val="single" w:color="auto" w:sz="4" w:space="0"/>
              <w:right w:val="single" w:color="auto" w:sz="4" w:space="0"/>
            </w:tcBorders>
            <w:shd w:val="clear" w:color="auto" w:fill="FFFFFF"/>
            <w:noWrap w:val="0"/>
            <w:vAlign w:val="center"/>
          </w:tcPr>
          <w:p w14:paraId="3FDF93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15</w:t>
            </w:r>
          </w:p>
        </w:tc>
        <w:tc>
          <w:tcPr>
            <w:tcW w:w="727" w:type="dxa"/>
            <w:tcBorders>
              <w:top w:val="nil"/>
              <w:left w:val="nil"/>
              <w:bottom w:val="single" w:color="auto" w:sz="4" w:space="0"/>
              <w:right w:val="single" w:color="auto" w:sz="4" w:space="0"/>
            </w:tcBorders>
            <w:shd w:val="clear" w:color="auto" w:fill="FFFFFF"/>
            <w:noWrap w:val="0"/>
            <w:vAlign w:val="center"/>
          </w:tcPr>
          <w:p w14:paraId="6FAC4FB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nil"/>
              <w:left w:val="nil"/>
              <w:bottom w:val="single" w:color="auto" w:sz="4" w:space="0"/>
              <w:right w:val="single" w:color="auto" w:sz="4" w:space="0"/>
            </w:tcBorders>
            <w:shd w:val="clear" w:color="auto" w:fill="FFFFFF"/>
            <w:noWrap w:val="0"/>
            <w:vAlign w:val="center"/>
          </w:tcPr>
          <w:p w14:paraId="71528EE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55269C4F">
        <w:tblPrEx>
          <w:tblCellMar>
            <w:top w:w="0" w:type="dxa"/>
            <w:left w:w="108" w:type="dxa"/>
            <w:bottom w:w="0" w:type="dxa"/>
            <w:right w:w="108" w:type="dxa"/>
          </w:tblCellMar>
        </w:tblPrEx>
        <w:trPr>
          <w:trHeight w:val="2070" w:hRule="atLeast"/>
          <w:jc w:val="center"/>
        </w:trPr>
        <w:tc>
          <w:tcPr>
            <w:tcW w:w="444" w:type="dxa"/>
            <w:tcBorders>
              <w:top w:val="nil"/>
              <w:left w:val="single" w:color="auto" w:sz="4" w:space="0"/>
              <w:bottom w:val="single" w:color="auto" w:sz="4" w:space="0"/>
              <w:right w:val="single" w:color="auto" w:sz="4" w:space="0"/>
            </w:tcBorders>
            <w:shd w:val="clear" w:color="auto" w:fill="FFFFFF"/>
            <w:noWrap w:val="0"/>
            <w:vAlign w:val="center"/>
          </w:tcPr>
          <w:p w14:paraId="5647040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1629" w:type="dxa"/>
            <w:tcBorders>
              <w:top w:val="nil"/>
              <w:left w:val="nil"/>
              <w:bottom w:val="single" w:color="auto" w:sz="4" w:space="0"/>
              <w:right w:val="single" w:color="auto" w:sz="4" w:space="0"/>
            </w:tcBorders>
            <w:shd w:val="clear" w:color="auto" w:fill="FFFFFF"/>
            <w:noWrap w:val="0"/>
            <w:vAlign w:val="center"/>
          </w:tcPr>
          <w:p w14:paraId="5AC3E89B">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砌筑毛石沉砂池</w:t>
            </w:r>
          </w:p>
        </w:tc>
        <w:tc>
          <w:tcPr>
            <w:tcW w:w="5183" w:type="dxa"/>
            <w:tcBorders>
              <w:top w:val="nil"/>
              <w:left w:val="nil"/>
              <w:bottom w:val="single" w:color="auto" w:sz="4" w:space="0"/>
              <w:right w:val="single" w:color="auto" w:sz="4" w:space="0"/>
            </w:tcBorders>
            <w:shd w:val="clear" w:color="auto" w:fill="FFFFFF"/>
            <w:noWrap w:val="0"/>
            <w:vAlign w:val="center"/>
          </w:tcPr>
          <w:p w14:paraId="2E576090">
            <w:pPr>
              <w:keepNext w:val="0"/>
              <w:keepLines w:val="0"/>
              <w:pageBreakBefore w:val="0"/>
              <w:widowControl w:val="0"/>
              <w:numPr>
                <w:ilvl w:val="0"/>
                <w:numId w:val="16"/>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长度：3米，宽度2.5米，池底厚0.4米，池壁高：1.5米，池壁厚0.5米；</w:t>
            </w:r>
          </w:p>
          <w:p w14:paraId="0378A0CE">
            <w:pPr>
              <w:keepNext w:val="0"/>
              <w:keepLines w:val="0"/>
              <w:pageBreakBefore w:val="0"/>
              <w:widowControl w:val="0"/>
              <w:numPr>
                <w:ilvl w:val="0"/>
                <w:numId w:val="16"/>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砂浆强度等级:水泥砂浆M7.5；</w:t>
            </w:r>
          </w:p>
          <w:p w14:paraId="75A0022C">
            <w:pPr>
              <w:keepNext w:val="0"/>
              <w:keepLines w:val="0"/>
              <w:pageBreakBefore w:val="0"/>
              <w:widowControl w:val="0"/>
              <w:numPr>
                <w:ilvl w:val="0"/>
                <w:numId w:val="16"/>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石料材质：石料应采用质地坚硬、不易风化的材料，且无裂纹；</w:t>
            </w:r>
          </w:p>
          <w:p w14:paraId="2C7BEDC2">
            <w:pPr>
              <w:keepNext w:val="0"/>
              <w:keepLines w:val="0"/>
              <w:pageBreakBefore w:val="0"/>
              <w:widowControl w:val="0"/>
              <w:numPr>
                <w:ilvl w:val="0"/>
                <w:numId w:val="16"/>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含运输、砌筑、二次搬运等一切工作内容；</w:t>
            </w:r>
          </w:p>
          <w:p w14:paraId="629BC6F4">
            <w:pPr>
              <w:keepNext w:val="0"/>
              <w:keepLines w:val="0"/>
              <w:pageBreakBefore w:val="0"/>
              <w:widowControl w:val="0"/>
              <w:numPr>
                <w:ilvl w:val="0"/>
                <w:numId w:val="16"/>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nil"/>
              <w:left w:val="nil"/>
              <w:bottom w:val="single" w:color="auto" w:sz="4" w:space="0"/>
              <w:right w:val="single" w:color="auto" w:sz="4" w:space="0"/>
            </w:tcBorders>
            <w:shd w:val="clear" w:color="auto" w:fill="FFFFFF"/>
            <w:noWrap w:val="0"/>
            <w:vAlign w:val="center"/>
          </w:tcPr>
          <w:p w14:paraId="53890DF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nil"/>
              <w:left w:val="nil"/>
              <w:bottom w:val="single" w:color="auto" w:sz="4" w:space="0"/>
              <w:right w:val="single" w:color="auto" w:sz="4" w:space="0"/>
            </w:tcBorders>
            <w:shd w:val="clear" w:color="auto" w:fill="FFFFFF"/>
            <w:noWrap w:val="0"/>
            <w:vAlign w:val="center"/>
          </w:tcPr>
          <w:p w14:paraId="62EB260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11.25</w:t>
            </w:r>
          </w:p>
        </w:tc>
        <w:tc>
          <w:tcPr>
            <w:tcW w:w="727" w:type="dxa"/>
            <w:tcBorders>
              <w:top w:val="nil"/>
              <w:left w:val="nil"/>
              <w:bottom w:val="single" w:color="auto" w:sz="4" w:space="0"/>
              <w:right w:val="single" w:color="auto" w:sz="4" w:space="0"/>
            </w:tcBorders>
            <w:shd w:val="clear" w:color="auto" w:fill="FFFFFF"/>
            <w:noWrap w:val="0"/>
            <w:vAlign w:val="center"/>
          </w:tcPr>
          <w:p w14:paraId="295AC15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nil"/>
              <w:left w:val="nil"/>
              <w:bottom w:val="single" w:color="auto" w:sz="4" w:space="0"/>
              <w:right w:val="single" w:color="auto" w:sz="4" w:space="0"/>
            </w:tcBorders>
            <w:shd w:val="clear" w:color="auto" w:fill="FFFFFF"/>
            <w:noWrap w:val="0"/>
            <w:vAlign w:val="center"/>
          </w:tcPr>
          <w:p w14:paraId="2CE9C8C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69C076EF">
        <w:tblPrEx>
          <w:tblCellMar>
            <w:top w:w="0" w:type="dxa"/>
            <w:left w:w="108" w:type="dxa"/>
            <w:bottom w:w="0" w:type="dxa"/>
            <w:right w:w="108" w:type="dxa"/>
          </w:tblCellMar>
        </w:tblPrEx>
        <w:trPr>
          <w:trHeight w:val="1519"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FA8741">
            <w:pPr>
              <w:keepNext w:val="0"/>
              <w:keepLines w:val="0"/>
              <w:pageBreakBefore w:val="0"/>
              <w:widowControl/>
              <w:kinsoku/>
              <w:wordWrap/>
              <w:overflowPunct/>
              <w:topLinePunct w:val="0"/>
              <w:autoSpaceDE/>
              <w:autoSpaceDN/>
              <w:bidi w:val="0"/>
              <w:adjustRightInd/>
              <w:snapToGrid/>
              <w:spacing w:line="300" w:lineRule="atLeas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16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6210CC">
            <w:pPr>
              <w:keepNext w:val="0"/>
              <w:keepLines w:val="0"/>
              <w:pageBreakBefore w:val="0"/>
              <w:kinsoku/>
              <w:wordWrap/>
              <w:overflowPunct/>
              <w:topLinePunct w:val="0"/>
              <w:autoSpaceDE/>
              <w:autoSpaceDN/>
              <w:bidi w:val="0"/>
              <w:adjustRightInd/>
              <w:snapToGrid/>
              <w:spacing w:line="300" w:lineRule="atLeas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抹灰</w:t>
            </w:r>
          </w:p>
        </w:tc>
        <w:tc>
          <w:tcPr>
            <w:tcW w:w="51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6015D6">
            <w:pPr>
              <w:keepNext w:val="0"/>
              <w:keepLines w:val="0"/>
              <w:pageBreakBefore w:val="0"/>
              <w:widowControl w:val="0"/>
              <w:numPr>
                <w:ilvl w:val="0"/>
                <w:numId w:val="17"/>
              </w:numPr>
              <w:kinsoku/>
              <w:wordWrap/>
              <w:overflowPunct/>
              <w:topLinePunct w:val="0"/>
              <w:autoSpaceDE/>
              <w:autoSpaceDN/>
              <w:bidi w:val="0"/>
              <w:adjustRightInd/>
              <w:snapToGrid/>
              <w:spacing w:line="300" w:lineRule="atLeas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位置:池底、池内壁、</w:t>
            </w:r>
            <w:r>
              <w:rPr>
                <w:rFonts w:hint="eastAsia" w:ascii="宋体" w:hAnsi="宋体" w:eastAsia="宋体" w:cs="Times New Roman"/>
                <w:sz w:val="24"/>
                <w:szCs w:val="24"/>
                <w:highlight w:val="none"/>
                <w:lang w:val="en-US" w:eastAsia="zh-CN"/>
              </w:rPr>
              <w:t>池顶</w:t>
            </w:r>
            <w:r>
              <w:rPr>
                <w:rFonts w:hint="eastAsia" w:ascii="宋体" w:hAnsi="宋体" w:eastAsia="宋体" w:cs="Times New Roman"/>
                <w:sz w:val="24"/>
                <w:szCs w:val="24"/>
                <w:lang w:val="en-US" w:eastAsia="zh-CN"/>
              </w:rPr>
              <w:t>；</w:t>
            </w:r>
          </w:p>
          <w:p w14:paraId="130D2D06">
            <w:pPr>
              <w:keepNext w:val="0"/>
              <w:keepLines w:val="0"/>
              <w:pageBreakBefore w:val="0"/>
              <w:widowControl w:val="0"/>
              <w:numPr>
                <w:ilvl w:val="0"/>
                <w:numId w:val="17"/>
              </w:numPr>
              <w:kinsoku/>
              <w:wordWrap/>
              <w:overflowPunct/>
              <w:topLinePunct w:val="0"/>
              <w:autoSpaceDE/>
              <w:autoSpaceDN/>
              <w:bidi w:val="0"/>
              <w:adjustRightInd/>
              <w:snapToGrid/>
              <w:spacing w:line="300" w:lineRule="atLeas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砂浆强度等级：M7.5水泥砂浆；</w:t>
            </w:r>
          </w:p>
          <w:p w14:paraId="2C47DFE8">
            <w:pPr>
              <w:keepNext w:val="0"/>
              <w:keepLines w:val="0"/>
              <w:pageBreakBefore w:val="0"/>
              <w:widowControl w:val="0"/>
              <w:numPr>
                <w:ilvl w:val="0"/>
                <w:numId w:val="17"/>
              </w:numPr>
              <w:kinsoku/>
              <w:wordWrap/>
              <w:overflowPunct/>
              <w:topLinePunct w:val="0"/>
              <w:autoSpaceDE/>
              <w:autoSpaceDN/>
              <w:bidi w:val="0"/>
              <w:adjustRightInd/>
              <w:snapToGrid/>
              <w:spacing w:line="300" w:lineRule="atLeas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8E4E85">
            <w:pPr>
              <w:keepNext w:val="0"/>
              <w:keepLines w:val="0"/>
              <w:pageBreakBefore w:val="0"/>
              <w:widowControl/>
              <w:kinsoku/>
              <w:wordWrap/>
              <w:overflowPunct/>
              <w:topLinePunct w:val="0"/>
              <w:autoSpaceDE/>
              <w:autoSpaceDN/>
              <w:bidi w:val="0"/>
              <w:adjustRightInd/>
              <w:snapToGrid/>
              <w:spacing w:line="300" w:lineRule="atLeast"/>
              <w:jc w:val="center"/>
              <w:textAlignment w:val="auto"/>
              <w:rPr>
                <w:rFonts w:hint="eastAsia" w:ascii="宋体" w:hAnsi="宋体" w:cs="宋体"/>
                <w:color w:val="auto"/>
                <w:kern w:val="0"/>
                <w:sz w:val="24"/>
                <w:szCs w:val="24"/>
                <w:lang w:val="en-US" w:eastAsia="zh-CN" w:bidi="ar-SA"/>
              </w:rPr>
            </w:pPr>
            <w:r>
              <w:rPr>
                <w:rFonts w:hint="eastAsia" w:ascii="宋体" w:hAnsi="宋体" w:cs="宋体"/>
                <w:color w:val="000000"/>
                <w:kern w:val="0"/>
                <w:sz w:val="24"/>
                <w:szCs w:val="24"/>
              </w:rPr>
              <w:t>㎡</w:t>
            </w:r>
          </w:p>
        </w:tc>
        <w:tc>
          <w:tcPr>
            <w:tcW w:w="8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D87403">
            <w:pPr>
              <w:keepNext w:val="0"/>
              <w:keepLines w:val="0"/>
              <w:pageBreakBefore w:val="0"/>
              <w:widowControl/>
              <w:kinsoku/>
              <w:wordWrap/>
              <w:overflowPunct/>
              <w:topLinePunct w:val="0"/>
              <w:autoSpaceDE/>
              <w:autoSpaceDN/>
              <w:bidi w:val="0"/>
              <w:adjustRightInd/>
              <w:snapToGrid/>
              <w:spacing w:line="300" w:lineRule="atLeas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lang w:val="en-US" w:eastAsia="zh-CN"/>
              </w:rPr>
              <w:t>18</w:t>
            </w:r>
          </w:p>
        </w:tc>
        <w:tc>
          <w:tcPr>
            <w:tcW w:w="7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344963">
            <w:pPr>
              <w:keepNext w:val="0"/>
              <w:keepLines w:val="0"/>
              <w:pageBreakBefore w:val="0"/>
              <w:widowControl/>
              <w:kinsoku/>
              <w:wordWrap/>
              <w:overflowPunct/>
              <w:topLinePunct w:val="0"/>
              <w:autoSpaceDE/>
              <w:autoSpaceDN/>
              <w:bidi w:val="0"/>
              <w:adjustRightInd/>
              <w:snapToGrid/>
              <w:spacing w:line="300" w:lineRule="atLeast"/>
              <w:jc w:val="center"/>
              <w:textAlignment w:val="auto"/>
              <w:rPr>
                <w:rFonts w:hint="default" w:ascii="宋体" w:hAnsi="宋体" w:eastAsia="宋体" w:cs="宋体"/>
                <w:color w:val="000000"/>
                <w:kern w:val="0"/>
                <w:sz w:val="24"/>
                <w:szCs w:val="24"/>
                <w:lang w:val="en-US" w:eastAsia="zh-CN" w:bidi="ar-SA"/>
              </w:rPr>
            </w:pPr>
          </w:p>
        </w:tc>
        <w:tc>
          <w:tcPr>
            <w:tcW w:w="7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DF15C5">
            <w:pPr>
              <w:keepNext w:val="0"/>
              <w:keepLines w:val="0"/>
              <w:pageBreakBefore w:val="0"/>
              <w:widowControl/>
              <w:kinsoku/>
              <w:wordWrap/>
              <w:overflowPunct/>
              <w:topLinePunct w:val="0"/>
              <w:autoSpaceDE/>
              <w:autoSpaceDN/>
              <w:bidi w:val="0"/>
              <w:adjustRightInd/>
              <w:snapToGrid/>
              <w:spacing w:line="300" w:lineRule="atLeast"/>
              <w:jc w:val="center"/>
              <w:textAlignment w:val="auto"/>
              <w:rPr>
                <w:rFonts w:hint="default" w:ascii="宋体" w:hAnsi="宋体" w:eastAsia="宋体" w:cs="宋体"/>
                <w:color w:val="000000"/>
                <w:kern w:val="0"/>
                <w:sz w:val="24"/>
                <w:szCs w:val="24"/>
                <w:lang w:val="en-US" w:eastAsia="zh-CN" w:bidi="ar-SA"/>
              </w:rPr>
            </w:pPr>
          </w:p>
        </w:tc>
      </w:tr>
      <w:tr w14:paraId="641E31D8">
        <w:tblPrEx>
          <w:tblCellMar>
            <w:top w:w="0" w:type="dxa"/>
            <w:left w:w="108" w:type="dxa"/>
            <w:bottom w:w="0" w:type="dxa"/>
            <w:right w:w="108" w:type="dxa"/>
          </w:tblCellMar>
        </w:tblPrEx>
        <w:trPr>
          <w:trHeight w:val="500" w:hRule="atLeast"/>
          <w:jc w:val="center"/>
        </w:trPr>
        <w:tc>
          <w:tcPr>
            <w:tcW w:w="10286" w:type="dxa"/>
            <w:gridSpan w:val="7"/>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28976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三、运矿道路埋设涵管</w:t>
            </w:r>
          </w:p>
        </w:tc>
      </w:tr>
      <w:tr w14:paraId="629C74D1">
        <w:tblPrEx>
          <w:tblCellMar>
            <w:top w:w="0" w:type="dxa"/>
            <w:left w:w="108" w:type="dxa"/>
            <w:bottom w:w="0" w:type="dxa"/>
            <w:right w:w="108" w:type="dxa"/>
          </w:tblCellMar>
        </w:tblPrEx>
        <w:trPr>
          <w:trHeight w:val="1519"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8550C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162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B033C0">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土方开挖</w:t>
            </w:r>
          </w:p>
        </w:tc>
        <w:tc>
          <w:tcPr>
            <w:tcW w:w="518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764CB6">
            <w:pPr>
              <w:keepNext w:val="0"/>
              <w:keepLines w:val="0"/>
              <w:pageBreakBefore w:val="0"/>
              <w:widowControl w:val="0"/>
              <w:numPr>
                <w:ilvl w:val="0"/>
                <w:numId w:val="18"/>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7E453719">
            <w:pPr>
              <w:keepNext w:val="0"/>
              <w:keepLines w:val="0"/>
              <w:pageBreakBefore w:val="0"/>
              <w:widowControl w:val="0"/>
              <w:numPr>
                <w:ilvl w:val="0"/>
                <w:numId w:val="18"/>
              </w:numPr>
              <w:kinsoku/>
              <w:wordWrap/>
              <w:overflowPunct/>
              <w:topLinePunct w:val="0"/>
              <w:autoSpaceDE/>
              <w:autoSpaceDN/>
              <w:bidi w:val="0"/>
              <w:adjustRightInd/>
              <w:snapToGrid/>
              <w:spacing w:line="32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开挖高度：2米，长度：14米，</w:t>
            </w:r>
            <w:r>
              <w:rPr>
                <w:rFonts w:hint="eastAsia" w:ascii="宋体" w:hAnsi="宋体" w:eastAsia="宋体" w:cs="Times New Roman"/>
                <w:sz w:val="24"/>
                <w:szCs w:val="24"/>
                <w:highlight w:val="none"/>
                <w:lang w:val="en-US" w:eastAsia="zh-CN"/>
              </w:rPr>
              <w:t>宽度：1.2米</w:t>
            </w:r>
            <w:r>
              <w:rPr>
                <w:rFonts w:hint="eastAsia" w:ascii="宋体" w:hAnsi="宋体" w:eastAsia="宋体" w:cs="Times New Roman"/>
                <w:sz w:val="24"/>
                <w:szCs w:val="24"/>
                <w:lang w:val="en-US" w:eastAsia="zh-CN"/>
              </w:rPr>
              <w:t>；</w:t>
            </w:r>
          </w:p>
          <w:p w14:paraId="7946817A">
            <w:pPr>
              <w:keepNext w:val="0"/>
              <w:keepLines w:val="0"/>
              <w:pageBreakBefore w:val="0"/>
              <w:widowControl w:val="0"/>
              <w:numPr>
                <w:ilvl w:val="0"/>
                <w:numId w:val="18"/>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174F5075">
            <w:pPr>
              <w:keepNext w:val="0"/>
              <w:keepLines w:val="0"/>
              <w:pageBreakBefore w:val="0"/>
              <w:widowControl w:val="0"/>
              <w:numPr>
                <w:ilvl w:val="0"/>
                <w:numId w:val="18"/>
              </w:numPr>
              <w:kinsoku/>
              <w:wordWrap/>
              <w:overflowPunct/>
              <w:topLinePunct w:val="0"/>
              <w:autoSpaceDE/>
              <w:autoSpaceDN/>
              <w:bidi w:val="0"/>
              <w:adjustRightInd/>
              <w:snapToGrid/>
              <w:spacing w:line="320" w:lineRule="exact"/>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113E8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D0A4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lang w:val="en-US" w:eastAsia="zh-CN"/>
              </w:rPr>
              <w:t>33.6</w:t>
            </w:r>
          </w:p>
        </w:tc>
        <w:tc>
          <w:tcPr>
            <w:tcW w:w="7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5696A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4594A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7257403D">
        <w:tblPrEx>
          <w:tblCellMar>
            <w:top w:w="0" w:type="dxa"/>
            <w:left w:w="108" w:type="dxa"/>
            <w:bottom w:w="0" w:type="dxa"/>
            <w:right w:w="108" w:type="dxa"/>
          </w:tblCellMar>
        </w:tblPrEx>
        <w:trPr>
          <w:trHeight w:val="1519"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D14CC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1629" w:type="dxa"/>
            <w:tcBorders>
              <w:top w:val="single" w:color="auto" w:sz="4" w:space="0"/>
              <w:left w:val="nil"/>
              <w:bottom w:val="single" w:color="auto" w:sz="4" w:space="0"/>
              <w:right w:val="single" w:color="auto" w:sz="4" w:space="0"/>
            </w:tcBorders>
            <w:shd w:val="clear" w:color="auto" w:fill="FFFFFF"/>
            <w:noWrap w:val="0"/>
            <w:vAlign w:val="center"/>
          </w:tcPr>
          <w:p w14:paraId="397F317C">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cs="宋体"/>
                <w:spacing w:val="4"/>
                <w:sz w:val="24"/>
                <w:szCs w:val="24"/>
                <w:lang w:val="en-US" w:eastAsia="zh-CN"/>
              </w:rPr>
            </w:pPr>
            <w:r>
              <w:rPr>
                <w:rFonts w:hint="eastAsia" w:ascii="宋体" w:hAnsi="宋体" w:eastAsia="宋体" w:cs="Times New Roman"/>
                <w:sz w:val="24"/>
                <w:szCs w:val="24"/>
                <w:lang w:val="en-US" w:eastAsia="zh-CN"/>
              </w:rPr>
              <w:t>现浇C15混凝土垫层</w:t>
            </w:r>
          </w:p>
        </w:tc>
        <w:tc>
          <w:tcPr>
            <w:tcW w:w="5183" w:type="dxa"/>
            <w:tcBorders>
              <w:top w:val="single" w:color="auto" w:sz="4" w:space="0"/>
              <w:left w:val="nil"/>
              <w:bottom w:val="single" w:color="auto" w:sz="4" w:space="0"/>
              <w:right w:val="single" w:color="auto" w:sz="4" w:space="0"/>
            </w:tcBorders>
            <w:shd w:val="clear" w:color="auto" w:fill="FFFFFF"/>
            <w:noWrap w:val="0"/>
            <w:vAlign w:val="center"/>
          </w:tcPr>
          <w:p w14:paraId="4879B74D">
            <w:pPr>
              <w:keepNext w:val="0"/>
              <w:keepLines w:val="0"/>
              <w:pageBreakBefore w:val="0"/>
              <w:widowControl w:val="0"/>
              <w:numPr>
                <w:ilvl w:val="0"/>
                <w:numId w:val="1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混凝土强度等级：C15；</w:t>
            </w:r>
          </w:p>
          <w:p w14:paraId="06903676">
            <w:pPr>
              <w:keepNext w:val="0"/>
              <w:keepLines w:val="0"/>
              <w:pageBreakBefore w:val="0"/>
              <w:widowControl w:val="0"/>
              <w:numPr>
                <w:ilvl w:val="0"/>
                <w:numId w:val="1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混凝土种类：现浇混凝土；</w:t>
            </w:r>
          </w:p>
          <w:p w14:paraId="57CB4020">
            <w:pPr>
              <w:keepNext w:val="0"/>
              <w:keepLines w:val="0"/>
              <w:pageBreakBefore w:val="0"/>
              <w:widowControl w:val="0"/>
              <w:numPr>
                <w:ilvl w:val="0"/>
                <w:numId w:val="1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垫层厚度：150mm，宽度：1.2米；</w:t>
            </w:r>
          </w:p>
          <w:p w14:paraId="713D95E8">
            <w:pPr>
              <w:keepNext w:val="0"/>
              <w:keepLines w:val="0"/>
              <w:pageBreakBefore w:val="0"/>
              <w:widowControl w:val="0"/>
              <w:numPr>
                <w:ilvl w:val="0"/>
                <w:numId w:val="19"/>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垫层部位：涵管下；</w:t>
            </w:r>
          </w:p>
          <w:p w14:paraId="7ECD46BF">
            <w:pPr>
              <w:keepNext w:val="0"/>
              <w:keepLines w:val="0"/>
              <w:pageBreakBefore w:val="0"/>
              <w:widowControl w:val="0"/>
              <w:numPr>
                <w:ilvl w:val="0"/>
                <w:numId w:val="19"/>
              </w:numPr>
              <w:kinsoku/>
              <w:wordWrap/>
              <w:overflowPunct/>
              <w:topLinePunct w:val="0"/>
              <w:autoSpaceDE/>
              <w:autoSpaceDN/>
              <w:bidi w:val="0"/>
              <w:adjustRightInd/>
              <w:snapToGrid/>
              <w:spacing w:line="320" w:lineRule="exac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nil"/>
              <w:bottom w:val="single" w:color="auto" w:sz="4" w:space="0"/>
              <w:right w:val="single" w:color="auto" w:sz="4" w:space="0"/>
            </w:tcBorders>
            <w:shd w:val="clear" w:color="auto" w:fill="FFFFFF"/>
            <w:noWrap w:val="0"/>
            <w:vAlign w:val="center"/>
          </w:tcPr>
          <w:p w14:paraId="1099ECF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single" w:color="auto" w:sz="4" w:space="0"/>
              <w:left w:val="nil"/>
              <w:bottom w:val="single" w:color="auto" w:sz="4" w:space="0"/>
              <w:right w:val="single" w:color="auto" w:sz="4" w:space="0"/>
            </w:tcBorders>
            <w:shd w:val="clear" w:color="auto" w:fill="FFFFFF"/>
            <w:noWrap w:val="0"/>
            <w:vAlign w:val="center"/>
          </w:tcPr>
          <w:p w14:paraId="168F80B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2.52</w:t>
            </w:r>
          </w:p>
        </w:tc>
        <w:tc>
          <w:tcPr>
            <w:tcW w:w="727" w:type="dxa"/>
            <w:tcBorders>
              <w:top w:val="single" w:color="auto" w:sz="4" w:space="0"/>
              <w:left w:val="nil"/>
              <w:bottom w:val="single" w:color="auto" w:sz="4" w:space="0"/>
              <w:right w:val="single" w:color="auto" w:sz="4" w:space="0"/>
            </w:tcBorders>
            <w:shd w:val="clear" w:color="auto" w:fill="FFFFFF"/>
            <w:noWrap w:val="0"/>
            <w:vAlign w:val="center"/>
          </w:tcPr>
          <w:p w14:paraId="06E992B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single" w:color="auto" w:sz="4" w:space="0"/>
              <w:left w:val="nil"/>
              <w:bottom w:val="single" w:color="auto" w:sz="4" w:space="0"/>
              <w:right w:val="single" w:color="auto" w:sz="4" w:space="0"/>
            </w:tcBorders>
            <w:shd w:val="clear" w:color="auto" w:fill="FFFFFF"/>
            <w:noWrap w:val="0"/>
            <w:vAlign w:val="center"/>
          </w:tcPr>
          <w:p w14:paraId="33FD467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39C0983C">
        <w:tblPrEx>
          <w:tblCellMar>
            <w:top w:w="0" w:type="dxa"/>
            <w:left w:w="108" w:type="dxa"/>
            <w:bottom w:w="0" w:type="dxa"/>
            <w:right w:w="108" w:type="dxa"/>
          </w:tblCellMar>
        </w:tblPrEx>
        <w:trPr>
          <w:trHeight w:val="1519"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257B2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1629" w:type="dxa"/>
            <w:tcBorders>
              <w:top w:val="single" w:color="auto" w:sz="4" w:space="0"/>
              <w:left w:val="nil"/>
              <w:bottom w:val="single" w:color="auto" w:sz="4" w:space="0"/>
              <w:right w:val="single" w:color="auto" w:sz="4" w:space="0"/>
            </w:tcBorders>
            <w:shd w:val="clear" w:color="auto" w:fill="FFFFFF"/>
            <w:noWrap w:val="0"/>
            <w:vAlign w:val="center"/>
          </w:tcPr>
          <w:p w14:paraId="5D98646E">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铺设涵管</w:t>
            </w:r>
          </w:p>
        </w:tc>
        <w:tc>
          <w:tcPr>
            <w:tcW w:w="5183" w:type="dxa"/>
            <w:tcBorders>
              <w:top w:val="single" w:color="auto" w:sz="4" w:space="0"/>
              <w:left w:val="nil"/>
              <w:bottom w:val="single" w:color="auto" w:sz="4" w:space="0"/>
              <w:right w:val="single" w:color="auto" w:sz="4" w:space="0"/>
            </w:tcBorders>
            <w:shd w:val="clear" w:color="auto" w:fill="FFFFFF"/>
            <w:noWrap w:val="0"/>
            <w:vAlign w:val="center"/>
          </w:tcPr>
          <w:p w14:paraId="1F5EA738">
            <w:pPr>
              <w:keepNext w:val="0"/>
              <w:keepLines w:val="0"/>
              <w:pageBreakBefore w:val="0"/>
              <w:widowControl w:val="0"/>
              <w:numPr>
                <w:ilvl w:val="0"/>
                <w:numId w:val="2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涵管材质：钢筋混凝土圆管涵；</w:t>
            </w:r>
          </w:p>
          <w:p w14:paraId="7435A8B5">
            <w:pPr>
              <w:keepNext w:val="0"/>
              <w:keepLines w:val="0"/>
              <w:pageBreakBefore w:val="0"/>
              <w:widowControl w:val="0"/>
              <w:numPr>
                <w:ilvl w:val="0"/>
                <w:numId w:val="2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涵管尺寸：Φ500mm钢筋混凝土圆管涵；</w:t>
            </w:r>
          </w:p>
          <w:p w14:paraId="35FDFBE4">
            <w:pPr>
              <w:keepNext w:val="0"/>
              <w:keepLines w:val="0"/>
              <w:pageBreakBefore w:val="0"/>
              <w:widowControl w:val="0"/>
              <w:numPr>
                <w:ilvl w:val="0"/>
                <w:numId w:val="2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壁厚：壁厚100mm；</w:t>
            </w:r>
          </w:p>
          <w:p w14:paraId="14C7612F">
            <w:pPr>
              <w:keepNext w:val="0"/>
              <w:keepLines w:val="0"/>
              <w:pageBreakBefore w:val="0"/>
              <w:widowControl w:val="0"/>
              <w:numPr>
                <w:ilvl w:val="0"/>
                <w:numId w:val="2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长度：单节长度2m；</w:t>
            </w:r>
          </w:p>
          <w:p w14:paraId="231A37C0">
            <w:pPr>
              <w:keepNext w:val="0"/>
              <w:keepLines w:val="0"/>
              <w:pageBreakBefore w:val="0"/>
              <w:widowControl w:val="0"/>
              <w:numPr>
                <w:ilvl w:val="0"/>
                <w:numId w:val="20"/>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nil"/>
              <w:bottom w:val="single" w:color="auto" w:sz="4" w:space="0"/>
              <w:right w:val="single" w:color="auto" w:sz="4" w:space="0"/>
            </w:tcBorders>
            <w:shd w:val="clear" w:color="auto" w:fill="FFFFFF"/>
            <w:noWrap w:val="0"/>
            <w:vAlign w:val="center"/>
          </w:tcPr>
          <w:p w14:paraId="3CCA0DD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m</w:t>
            </w:r>
          </w:p>
        </w:tc>
        <w:tc>
          <w:tcPr>
            <w:tcW w:w="843" w:type="dxa"/>
            <w:tcBorders>
              <w:top w:val="single" w:color="auto" w:sz="4" w:space="0"/>
              <w:left w:val="nil"/>
              <w:bottom w:val="single" w:color="auto" w:sz="4" w:space="0"/>
              <w:right w:val="single" w:color="auto" w:sz="4" w:space="0"/>
            </w:tcBorders>
            <w:shd w:val="clear" w:color="auto" w:fill="FFFFFF"/>
            <w:noWrap w:val="0"/>
            <w:vAlign w:val="center"/>
          </w:tcPr>
          <w:p w14:paraId="6AD8BEE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w:t>
            </w:r>
          </w:p>
        </w:tc>
        <w:tc>
          <w:tcPr>
            <w:tcW w:w="727" w:type="dxa"/>
            <w:tcBorders>
              <w:top w:val="single" w:color="auto" w:sz="4" w:space="0"/>
              <w:left w:val="nil"/>
              <w:bottom w:val="single" w:color="auto" w:sz="4" w:space="0"/>
              <w:right w:val="single" w:color="auto" w:sz="4" w:space="0"/>
            </w:tcBorders>
            <w:shd w:val="clear" w:color="auto" w:fill="FFFFFF"/>
            <w:noWrap w:val="0"/>
            <w:vAlign w:val="center"/>
          </w:tcPr>
          <w:p w14:paraId="29D16F3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single" w:color="auto" w:sz="4" w:space="0"/>
              <w:left w:val="nil"/>
              <w:bottom w:val="single" w:color="auto" w:sz="4" w:space="0"/>
              <w:right w:val="single" w:color="auto" w:sz="4" w:space="0"/>
            </w:tcBorders>
            <w:shd w:val="clear" w:color="auto" w:fill="FFFFFF"/>
            <w:noWrap w:val="0"/>
            <w:vAlign w:val="center"/>
          </w:tcPr>
          <w:p w14:paraId="26A2E5F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495E4099">
        <w:tblPrEx>
          <w:tblCellMar>
            <w:top w:w="0" w:type="dxa"/>
            <w:left w:w="108" w:type="dxa"/>
            <w:bottom w:w="0" w:type="dxa"/>
            <w:right w:w="108" w:type="dxa"/>
          </w:tblCellMar>
        </w:tblPrEx>
        <w:trPr>
          <w:trHeight w:val="1519" w:hRule="atLeast"/>
          <w:jc w:val="center"/>
        </w:trPr>
        <w:tc>
          <w:tcPr>
            <w:tcW w:w="44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2F590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4</w:t>
            </w:r>
          </w:p>
        </w:tc>
        <w:tc>
          <w:tcPr>
            <w:tcW w:w="1629" w:type="dxa"/>
            <w:tcBorders>
              <w:top w:val="single" w:color="auto" w:sz="4" w:space="0"/>
              <w:left w:val="nil"/>
              <w:bottom w:val="single" w:color="auto" w:sz="4" w:space="0"/>
              <w:right w:val="single" w:color="auto" w:sz="4" w:space="0"/>
            </w:tcBorders>
            <w:shd w:val="clear" w:color="auto" w:fill="FFFFFF"/>
            <w:noWrap w:val="0"/>
            <w:vAlign w:val="center"/>
          </w:tcPr>
          <w:p w14:paraId="07F1E43D">
            <w:pPr>
              <w:keepNext w:val="0"/>
              <w:keepLines w:val="0"/>
              <w:pageBreakBefore w:val="0"/>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回填</w:t>
            </w:r>
          </w:p>
        </w:tc>
        <w:tc>
          <w:tcPr>
            <w:tcW w:w="5183" w:type="dxa"/>
            <w:tcBorders>
              <w:top w:val="single" w:color="auto" w:sz="4" w:space="0"/>
              <w:left w:val="nil"/>
              <w:bottom w:val="single" w:color="auto" w:sz="4" w:space="0"/>
              <w:right w:val="single" w:color="auto" w:sz="4" w:space="0"/>
            </w:tcBorders>
            <w:shd w:val="clear" w:color="auto" w:fill="FFFFFF"/>
            <w:noWrap w:val="0"/>
            <w:vAlign w:val="center"/>
          </w:tcPr>
          <w:p w14:paraId="64FF115D">
            <w:pPr>
              <w:keepNext w:val="0"/>
              <w:keepLines w:val="0"/>
              <w:pageBreakBefore w:val="0"/>
              <w:widowControl w:val="0"/>
              <w:numPr>
                <w:ilvl w:val="0"/>
                <w:numId w:val="21"/>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回填材料：砂石，可取原开挖土方；</w:t>
            </w:r>
          </w:p>
          <w:p w14:paraId="5F0E8263">
            <w:pPr>
              <w:keepNext w:val="0"/>
              <w:keepLines w:val="0"/>
              <w:pageBreakBefore w:val="0"/>
              <w:widowControl w:val="0"/>
              <w:numPr>
                <w:ilvl w:val="0"/>
                <w:numId w:val="21"/>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压实度标准：压实度≥93%；</w:t>
            </w:r>
          </w:p>
          <w:p w14:paraId="16616F65">
            <w:pPr>
              <w:keepNext w:val="0"/>
              <w:keepLines w:val="0"/>
              <w:pageBreakBefore w:val="0"/>
              <w:widowControl w:val="0"/>
              <w:numPr>
                <w:ilvl w:val="0"/>
                <w:numId w:val="21"/>
              </w:numPr>
              <w:kinsoku/>
              <w:wordWrap/>
              <w:overflowPunct/>
              <w:topLinePunct w:val="0"/>
              <w:autoSpaceDE/>
              <w:autoSpaceDN/>
              <w:bidi w:val="0"/>
              <w:adjustRightInd/>
              <w:snapToGrid/>
              <w:spacing w:line="32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33" w:type="dxa"/>
            <w:tcBorders>
              <w:top w:val="single" w:color="auto" w:sz="4" w:space="0"/>
              <w:left w:val="nil"/>
              <w:bottom w:val="single" w:color="auto" w:sz="4" w:space="0"/>
              <w:right w:val="single" w:color="auto" w:sz="4" w:space="0"/>
            </w:tcBorders>
            <w:shd w:val="clear" w:color="auto" w:fill="FFFFFF"/>
            <w:noWrap w:val="0"/>
            <w:vAlign w:val="center"/>
          </w:tcPr>
          <w:p w14:paraId="224C36A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843" w:type="dxa"/>
            <w:tcBorders>
              <w:top w:val="single" w:color="auto" w:sz="4" w:space="0"/>
              <w:left w:val="nil"/>
              <w:bottom w:val="single" w:color="auto" w:sz="4" w:space="0"/>
              <w:right w:val="single" w:color="auto" w:sz="4" w:space="0"/>
            </w:tcBorders>
            <w:shd w:val="clear" w:color="auto" w:fill="FFFFFF"/>
            <w:noWrap w:val="0"/>
            <w:vAlign w:val="center"/>
          </w:tcPr>
          <w:p w14:paraId="4115F2B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14.77</w:t>
            </w:r>
          </w:p>
        </w:tc>
        <w:tc>
          <w:tcPr>
            <w:tcW w:w="727" w:type="dxa"/>
            <w:tcBorders>
              <w:top w:val="single" w:color="auto" w:sz="4" w:space="0"/>
              <w:left w:val="nil"/>
              <w:bottom w:val="single" w:color="auto" w:sz="4" w:space="0"/>
              <w:right w:val="single" w:color="auto" w:sz="4" w:space="0"/>
            </w:tcBorders>
            <w:shd w:val="clear" w:color="auto" w:fill="FFFFFF"/>
            <w:noWrap w:val="0"/>
            <w:vAlign w:val="center"/>
          </w:tcPr>
          <w:p w14:paraId="2016619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c>
          <w:tcPr>
            <w:tcW w:w="727" w:type="dxa"/>
            <w:tcBorders>
              <w:top w:val="single" w:color="auto" w:sz="4" w:space="0"/>
              <w:left w:val="nil"/>
              <w:bottom w:val="single" w:color="auto" w:sz="4" w:space="0"/>
              <w:right w:val="single" w:color="auto" w:sz="4" w:space="0"/>
            </w:tcBorders>
            <w:shd w:val="clear" w:color="auto" w:fill="FFFFFF"/>
            <w:noWrap w:val="0"/>
            <w:vAlign w:val="center"/>
          </w:tcPr>
          <w:p w14:paraId="718B19A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kern w:val="0"/>
                <w:sz w:val="24"/>
                <w:szCs w:val="24"/>
                <w:lang w:val="en-US" w:eastAsia="zh-CN" w:bidi="ar-SA"/>
              </w:rPr>
            </w:pPr>
          </w:p>
        </w:tc>
      </w:tr>
      <w:tr w14:paraId="4E7015DC">
        <w:tblPrEx>
          <w:tblCellMar>
            <w:top w:w="0" w:type="dxa"/>
            <w:left w:w="108" w:type="dxa"/>
            <w:bottom w:w="0" w:type="dxa"/>
            <w:right w:w="108" w:type="dxa"/>
          </w:tblCellMar>
        </w:tblPrEx>
        <w:trPr>
          <w:trHeight w:val="504" w:hRule="atLeast"/>
          <w:jc w:val="center"/>
        </w:trPr>
        <w:tc>
          <w:tcPr>
            <w:tcW w:w="8832" w:type="dxa"/>
            <w:gridSpan w:val="5"/>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17D533">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sz w:val="24"/>
                <w:szCs w:val="24"/>
                <w:lang w:val="en-US" w:eastAsia="zh-CN"/>
              </w:rPr>
            </w:pPr>
            <w:r>
              <w:rPr>
                <w:rFonts w:hint="eastAsia" w:ascii="宋体" w:hAnsi="宋体" w:cs="宋体"/>
                <w:b/>
                <w:color w:val="000000"/>
                <w:kern w:val="0"/>
                <w:sz w:val="24"/>
                <w:szCs w:val="24"/>
              </w:rPr>
              <w:t>合计（含</w:t>
            </w:r>
            <w:r>
              <w:rPr>
                <w:rFonts w:hint="eastAsia" w:ascii="宋体" w:hAnsi="宋体" w:cs="宋体"/>
                <w:b/>
                <w:color w:val="000000"/>
                <w:kern w:val="0"/>
                <w:sz w:val="24"/>
                <w:szCs w:val="24"/>
                <w:lang w:val="en-US" w:eastAsia="zh-CN"/>
              </w:rPr>
              <w:t>X</w:t>
            </w:r>
            <w:r>
              <w:rPr>
                <w:rFonts w:hint="eastAsia" w:ascii="宋体" w:hAnsi="宋体" w:cs="宋体"/>
                <w:b/>
                <w:color w:val="000000"/>
                <w:kern w:val="0"/>
                <w:sz w:val="24"/>
                <w:szCs w:val="24"/>
              </w:rPr>
              <w:t>%增值税）</w:t>
            </w:r>
          </w:p>
        </w:tc>
        <w:tc>
          <w:tcPr>
            <w:tcW w:w="1454"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F644B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000000"/>
                <w:sz w:val="24"/>
                <w:szCs w:val="24"/>
                <w:lang w:val="en-US" w:eastAsia="zh-CN"/>
              </w:rPr>
            </w:pPr>
          </w:p>
        </w:tc>
      </w:tr>
    </w:tbl>
    <w:p w14:paraId="402CB82D">
      <w:pPr>
        <w:spacing w:line="540" w:lineRule="exact"/>
        <w:ind w:firstLine="480" w:firstLineChars="200"/>
        <w:rPr>
          <w:rFonts w:hint="eastAsia" w:ascii="黑体" w:hAnsi="黑体" w:eastAsia="黑体" w:cs="黑体"/>
          <w:bCs/>
          <w:sz w:val="24"/>
          <w:szCs w:val="24"/>
        </w:rPr>
      </w:pPr>
      <w:r>
        <w:rPr>
          <w:rFonts w:hint="eastAsia" w:ascii="黑体" w:hAnsi="黑体" w:eastAsia="黑体" w:cs="黑体"/>
          <w:bCs/>
          <w:sz w:val="24"/>
          <w:szCs w:val="24"/>
        </w:rPr>
        <w:t>四、工程工期</w:t>
      </w:r>
    </w:p>
    <w:p w14:paraId="59170EDC">
      <w:pPr>
        <w:spacing w:line="540" w:lineRule="exact"/>
        <w:ind w:firstLine="480" w:firstLineChars="200"/>
        <w:rPr>
          <w:rFonts w:hint="eastAsia" w:ascii="宋体" w:hAnsi="宋体" w:cs="宋体"/>
          <w:kern w:val="0"/>
          <w:sz w:val="24"/>
          <w:szCs w:val="24"/>
        </w:rPr>
      </w:pPr>
      <w:r>
        <w:rPr>
          <w:rFonts w:hint="eastAsia" w:ascii="宋体" w:hAnsi="宋体" w:cs="宋体"/>
          <w:kern w:val="0"/>
          <w:sz w:val="24"/>
          <w:szCs w:val="24"/>
        </w:rPr>
        <w:t>4.1本工程工期：施工工期</w:t>
      </w:r>
      <w:r>
        <w:rPr>
          <w:rFonts w:hint="eastAsia" w:ascii="宋体" w:hAnsi="宋体" w:cs="宋体"/>
          <w:kern w:val="0"/>
          <w:sz w:val="24"/>
          <w:szCs w:val="24"/>
          <w:lang w:val="en-US" w:eastAsia="zh-CN"/>
        </w:rPr>
        <w:t>30</w:t>
      </w:r>
      <w:r>
        <w:rPr>
          <w:rFonts w:hint="eastAsia" w:ascii="宋体" w:hAnsi="宋体" w:cs="宋体"/>
          <w:kern w:val="0"/>
          <w:sz w:val="24"/>
          <w:szCs w:val="24"/>
        </w:rPr>
        <w:t>日历天。</w:t>
      </w:r>
    </w:p>
    <w:p w14:paraId="44EE511A">
      <w:pPr>
        <w:spacing w:line="540" w:lineRule="exact"/>
        <w:ind w:firstLine="480" w:firstLineChars="200"/>
        <w:rPr>
          <w:rFonts w:hint="default" w:ascii="宋体" w:hAnsi="宋体" w:eastAsia="宋体" w:cs="宋体"/>
          <w:kern w:val="0"/>
          <w:sz w:val="24"/>
          <w:szCs w:val="24"/>
          <w:lang w:val="en-US" w:eastAsia="zh-CN"/>
        </w:rPr>
      </w:pPr>
      <w:r>
        <w:rPr>
          <w:rFonts w:hint="eastAsia" w:ascii="宋体" w:hAnsi="宋体" w:cs="宋体"/>
          <w:kern w:val="0"/>
          <w:sz w:val="24"/>
          <w:szCs w:val="24"/>
        </w:rPr>
        <w:t>4.2 开工日期：具体开工日期</w:t>
      </w:r>
      <w:r>
        <w:rPr>
          <w:rFonts w:hint="eastAsia" w:ascii="宋体" w:hAnsi="宋体" w:cs="宋体"/>
          <w:kern w:val="0"/>
          <w:sz w:val="24"/>
          <w:szCs w:val="24"/>
          <w:lang w:val="en-US" w:eastAsia="zh-CN"/>
        </w:rPr>
        <w:t>为合同签订之日，</w:t>
      </w:r>
      <w:r>
        <w:rPr>
          <w:rFonts w:hint="eastAsia" w:ascii="宋体" w:hAnsi="宋体" w:cs="宋体"/>
          <w:kern w:val="0"/>
          <w:sz w:val="24"/>
          <w:szCs w:val="24"/>
        </w:rPr>
        <w:t>即____年____月____日。</w:t>
      </w:r>
    </w:p>
    <w:p w14:paraId="1049607F">
      <w:pPr>
        <w:spacing w:line="540" w:lineRule="exact"/>
        <w:ind w:firstLine="480" w:firstLineChars="200"/>
        <w:rPr>
          <w:rFonts w:ascii="宋体" w:hAnsi="宋体" w:cs="宋体"/>
          <w:kern w:val="0"/>
          <w:sz w:val="24"/>
          <w:szCs w:val="24"/>
        </w:rPr>
      </w:pPr>
      <w:r>
        <w:rPr>
          <w:rFonts w:hint="eastAsia" w:ascii="宋体" w:hAnsi="宋体" w:cs="宋体"/>
          <w:kern w:val="0"/>
          <w:sz w:val="24"/>
          <w:szCs w:val="24"/>
        </w:rPr>
        <w:t>4.3竣工日期：具体日期以甲方等相关部门共同签署确认的交工验收证书载明的时间为准。若遇特殊情况，经双方协商一致，并以书面形式确定顺延期限。顺延工期必须在工程竣工验收前形成书面资料一同并入竣工资料归档，结算审核过程不再接收任何工期延期资料，视为乙方自动放弃工期顺延的权利。</w:t>
      </w:r>
    </w:p>
    <w:p w14:paraId="41CBA5E9">
      <w:pPr>
        <w:spacing w:line="540" w:lineRule="exact"/>
        <w:ind w:firstLine="480" w:firstLineChars="200"/>
        <w:rPr>
          <w:rFonts w:hint="eastAsia" w:ascii="黑体" w:hAnsi="黑体" w:eastAsia="黑体" w:cs="黑体"/>
          <w:bCs/>
          <w:sz w:val="24"/>
          <w:szCs w:val="24"/>
        </w:rPr>
      </w:pPr>
      <w:r>
        <w:rPr>
          <w:rFonts w:hint="eastAsia" w:ascii="黑体" w:hAnsi="黑体" w:eastAsia="黑体" w:cs="黑体"/>
          <w:bCs/>
          <w:sz w:val="24"/>
          <w:szCs w:val="24"/>
        </w:rPr>
        <w:t>五、合同文件的组成及解释顺序</w:t>
      </w:r>
    </w:p>
    <w:p w14:paraId="4B751F45">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5.1合同履行过程中，双方签署确认的通知、会议纪要、备忘录、补充文件、指令、传真、电子邮件、变更和洽商等书面形式的文件；</w:t>
      </w:r>
    </w:p>
    <w:p w14:paraId="32FD7AD2">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5.2本合同条款及本合同条款中引用的甲方及其主管单位的相关规定；</w:t>
      </w:r>
    </w:p>
    <w:p w14:paraId="3BBBF01D">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5.3成交通知书；</w:t>
      </w:r>
    </w:p>
    <w:p w14:paraId="67464B50">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5.4乙方竞价期间提交并经甲方认可的澄清、承诺文件；</w:t>
      </w:r>
    </w:p>
    <w:p w14:paraId="06B682D5">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5.5乙方询价响应文件；</w:t>
      </w:r>
    </w:p>
    <w:p w14:paraId="6DA7B2E2">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5.6甲方询价文件及其附件；</w:t>
      </w:r>
    </w:p>
    <w:p w14:paraId="11506B2B">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5.7标准、规范；</w:t>
      </w:r>
    </w:p>
    <w:p w14:paraId="79CCB5BC">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5.8工程量清单；</w:t>
      </w:r>
    </w:p>
    <w:p w14:paraId="10AA7A0D">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5.9工程报价单或预算书。</w:t>
      </w:r>
    </w:p>
    <w:p w14:paraId="148FB677">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若上述文件中有歧义或不一致的，以上述文件在前者为准，对于同一类合同文件，以各方最新确认的文本为准。</w:t>
      </w:r>
    </w:p>
    <w:p w14:paraId="1465B175">
      <w:pPr>
        <w:spacing w:line="540" w:lineRule="exact"/>
        <w:ind w:firstLine="480" w:firstLineChars="200"/>
        <w:rPr>
          <w:rFonts w:hint="eastAsia" w:ascii="黑体" w:hAnsi="黑体" w:eastAsia="黑体" w:cs="黑体"/>
          <w:bCs/>
          <w:sz w:val="24"/>
          <w:szCs w:val="24"/>
        </w:rPr>
      </w:pPr>
      <w:r>
        <w:rPr>
          <w:rFonts w:hint="eastAsia" w:ascii="黑体" w:hAnsi="黑体" w:eastAsia="黑体" w:cs="黑体"/>
          <w:bCs/>
          <w:sz w:val="24"/>
          <w:szCs w:val="24"/>
        </w:rPr>
        <w:t>六、合同价款及结算方式</w:t>
      </w:r>
    </w:p>
    <w:p w14:paraId="09A4796A">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6.1合同价款</w:t>
      </w:r>
    </w:p>
    <w:p w14:paraId="6992BE26">
      <w:pPr>
        <w:adjustRightInd w:val="0"/>
        <w:snapToGrid w:val="0"/>
        <w:spacing w:line="540" w:lineRule="exact"/>
        <w:ind w:firstLine="560"/>
        <w:rPr>
          <w:rFonts w:hint="default" w:ascii="宋体" w:hAnsi="宋体" w:eastAsia="宋体" w:cs="宋体"/>
          <w:sz w:val="24"/>
          <w:szCs w:val="24"/>
          <w:lang w:val="en-US" w:eastAsia="zh-CN"/>
        </w:rPr>
      </w:pPr>
      <w:r>
        <w:rPr>
          <w:rFonts w:hint="eastAsia" w:ascii="宋体" w:hAnsi="宋体" w:cs="宋体"/>
          <w:sz w:val="24"/>
          <w:szCs w:val="24"/>
        </w:rPr>
        <w:t>合同价款：本合同为单价合同（含增值税</w:t>
      </w:r>
      <w:r>
        <w:rPr>
          <w:rFonts w:hint="eastAsia" w:ascii="宋体" w:hAnsi="宋体" w:cs="宋体"/>
          <w:sz w:val="24"/>
          <w:szCs w:val="24"/>
          <w:lang w:val="en-US" w:eastAsia="zh-CN"/>
        </w:rPr>
        <w:t>X</w:t>
      </w:r>
      <w:r>
        <w:rPr>
          <w:rFonts w:hint="eastAsia" w:ascii="宋体" w:hAnsi="宋体" w:cs="宋体"/>
          <w:sz w:val="24"/>
          <w:szCs w:val="24"/>
        </w:rPr>
        <w:t>%），暂估合同价</w:t>
      </w:r>
      <w:r>
        <w:rPr>
          <w:rFonts w:hint="eastAsia" w:ascii="宋体" w:hAnsi="宋体" w:eastAsia="宋体" w:cs="宋体"/>
          <w:sz w:val="24"/>
          <w:szCs w:val="24"/>
          <w:lang w:eastAsia="zh-CN"/>
        </w:rPr>
        <w:t>总价</w:t>
      </w:r>
      <w:r>
        <w:rPr>
          <w:rFonts w:hint="eastAsia" w:ascii="宋体" w:hAnsi="宋体" w:cs="宋体"/>
          <w:sz w:val="24"/>
          <w:szCs w:val="24"/>
        </w:rPr>
        <w:t>：</w:t>
      </w:r>
      <w:r>
        <w:rPr>
          <w:rFonts w:hint="eastAsia" w:ascii="宋体" w:hAnsi="宋体" w:cs="宋体"/>
          <w:sz w:val="24"/>
          <w:szCs w:val="24"/>
          <w:lang w:val="en-US" w:eastAsia="zh-CN"/>
        </w:rPr>
        <w:t>XXXX</w:t>
      </w:r>
      <w:r>
        <w:rPr>
          <w:rFonts w:hint="eastAsia" w:ascii="宋体" w:hAnsi="宋体" w:cs="宋体"/>
          <w:sz w:val="24"/>
          <w:szCs w:val="24"/>
        </w:rPr>
        <w:t>元</w:t>
      </w:r>
      <w:r>
        <w:rPr>
          <w:rFonts w:hint="eastAsia" w:ascii="宋体" w:hAnsi="宋体" w:cs="宋体"/>
          <w:sz w:val="24"/>
          <w:szCs w:val="24"/>
          <w:lang w:eastAsia="zh-CN"/>
        </w:rPr>
        <w:t>（</w:t>
      </w:r>
      <w:r>
        <w:rPr>
          <w:rFonts w:hint="eastAsia" w:ascii="宋体" w:hAnsi="宋体" w:cs="宋体"/>
          <w:sz w:val="24"/>
          <w:szCs w:val="24"/>
        </w:rPr>
        <w:t>（大写）</w:t>
      </w:r>
      <w:r>
        <w:rPr>
          <w:rFonts w:hint="eastAsia" w:ascii="宋体" w:hAnsi="宋体" w:cs="宋体"/>
          <w:sz w:val="24"/>
          <w:szCs w:val="24"/>
          <w:lang w:val="en-US" w:eastAsia="zh-CN"/>
        </w:rPr>
        <w:t>XXXXXX)。</w:t>
      </w:r>
    </w:p>
    <w:p w14:paraId="0BD313DE">
      <w:pPr>
        <w:spacing w:line="540" w:lineRule="exact"/>
        <w:ind w:firstLine="480" w:firstLineChars="200"/>
        <w:rPr>
          <w:rFonts w:hint="eastAsia" w:ascii="楷体" w:hAnsi="楷体" w:eastAsia="楷体" w:cs="楷体"/>
          <w:bCs/>
          <w:sz w:val="24"/>
          <w:szCs w:val="24"/>
        </w:rPr>
      </w:pPr>
      <w:r>
        <w:rPr>
          <w:rFonts w:hint="eastAsia" w:ascii="宋体" w:hAnsi="宋体" w:cs="宋体"/>
          <w:sz w:val="24"/>
          <w:szCs w:val="24"/>
        </w:rPr>
        <w:t>6.2结算方式</w:t>
      </w:r>
    </w:p>
    <w:p w14:paraId="65DA0821">
      <w:pPr>
        <w:adjustRightInd w:val="0"/>
        <w:snapToGrid w:val="0"/>
        <w:spacing w:line="540" w:lineRule="exact"/>
        <w:ind w:firstLine="560"/>
        <w:rPr>
          <w:rFonts w:hint="eastAsia" w:ascii="宋体" w:hAnsi="宋体" w:cs="新宋体"/>
          <w:color w:val="000000"/>
          <w:sz w:val="24"/>
          <w:szCs w:val="24"/>
        </w:rPr>
      </w:pPr>
      <w:r>
        <w:rPr>
          <w:rFonts w:hint="eastAsia" w:ascii="宋体" w:hAnsi="宋体" w:cs="宋体"/>
          <w:sz w:val="24"/>
          <w:szCs w:val="24"/>
        </w:rPr>
        <w:t>按实际完成合格工程量计量，结算单价按</w:t>
      </w:r>
      <w:r>
        <w:rPr>
          <w:rFonts w:hint="eastAsia" w:ascii="宋体" w:hAnsi="宋体" w:cs="宋体"/>
          <w:sz w:val="24"/>
          <w:szCs w:val="24"/>
          <w:lang w:eastAsia="zh-CN"/>
        </w:rPr>
        <w:t>合同</w:t>
      </w:r>
      <w:r>
        <w:rPr>
          <w:rFonts w:hint="eastAsia" w:ascii="宋体" w:hAnsi="宋体" w:cs="宋体"/>
          <w:sz w:val="24"/>
          <w:szCs w:val="24"/>
          <w:lang w:val="en-US" w:eastAsia="zh-CN"/>
        </w:rPr>
        <w:t>3.2条约定</w:t>
      </w:r>
      <w:r>
        <w:rPr>
          <w:rFonts w:hint="eastAsia" w:ascii="宋体" w:hAnsi="宋体" w:cs="宋体"/>
          <w:sz w:val="24"/>
          <w:szCs w:val="24"/>
        </w:rPr>
        <w:t>单价</w:t>
      </w:r>
      <w:r>
        <w:rPr>
          <w:rFonts w:hint="eastAsia" w:ascii="宋体" w:hAnsi="宋体" w:cs="宋体"/>
          <w:sz w:val="24"/>
          <w:szCs w:val="24"/>
          <w:lang w:eastAsia="zh-CN"/>
        </w:rPr>
        <w:t>（含税）</w:t>
      </w:r>
      <w:r>
        <w:rPr>
          <w:rFonts w:hint="eastAsia" w:ascii="宋体" w:hAnsi="宋体" w:cs="宋体"/>
          <w:sz w:val="24"/>
          <w:szCs w:val="24"/>
        </w:rPr>
        <w:t>计价，</w:t>
      </w:r>
      <w:r>
        <w:rPr>
          <w:rFonts w:hint="eastAsia" w:ascii="宋体" w:hAnsi="宋体"/>
          <w:sz w:val="24"/>
          <w:szCs w:val="24"/>
        </w:rPr>
        <w:t>结算时不因市场风险变化作任何调整（除国家税率调整外）</w:t>
      </w:r>
      <w:r>
        <w:rPr>
          <w:rFonts w:hint="eastAsia" w:ascii="宋体" w:hAnsi="宋体"/>
          <w:sz w:val="24"/>
          <w:szCs w:val="24"/>
          <w:lang w:eastAsia="zh-CN"/>
        </w:rPr>
        <w:t>。</w:t>
      </w:r>
    </w:p>
    <w:p w14:paraId="459B89E4">
      <w:pPr>
        <w:spacing w:line="540" w:lineRule="exact"/>
        <w:ind w:firstLine="480" w:firstLineChars="200"/>
        <w:rPr>
          <w:rFonts w:hint="eastAsia" w:ascii="楷体" w:hAnsi="楷体" w:eastAsia="楷体" w:cs="楷体"/>
          <w:bCs/>
          <w:sz w:val="24"/>
          <w:szCs w:val="24"/>
        </w:rPr>
      </w:pPr>
      <w:r>
        <w:rPr>
          <w:rFonts w:hint="eastAsia" w:ascii="宋体" w:hAnsi="宋体" w:cs="宋体"/>
          <w:sz w:val="24"/>
          <w:szCs w:val="24"/>
        </w:rPr>
        <w:t>6.3工程量计算依据</w:t>
      </w:r>
    </w:p>
    <w:p w14:paraId="52B7F9C2">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6.3.1 以甲方认可的</w:t>
      </w:r>
      <w:r>
        <w:rPr>
          <w:rFonts w:hint="eastAsia" w:ascii="宋体" w:hAnsi="宋体" w:cs="宋体"/>
          <w:sz w:val="24"/>
          <w:szCs w:val="24"/>
          <w:lang w:eastAsia="zh-CN"/>
        </w:rPr>
        <w:t>工程量清单、工程报价单或预算表</w:t>
      </w:r>
      <w:r>
        <w:rPr>
          <w:rFonts w:hint="eastAsia" w:ascii="宋体" w:hAnsi="宋体" w:cs="宋体"/>
          <w:sz w:val="24"/>
          <w:szCs w:val="24"/>
        </w:rPr>
        <w:t>等资料作为工程量的计算依据。</w:t>
      </w:r>
    </w:p>
    <w:p w14:paraId="4BCE7B30">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6.3.2 工程量的计算应遵守国家相关的工程量计算规则和规定。</w:t>
      </w:r>
    </w:p>
    <w:p w14:paraId="507F0DD0">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七、价款的支付</w:t>
      </w:r>
    </w:p>
    <w:p w14:paraId="3EF089CB">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7.1支付方式：货币支付。</w:t>
      </w:r>
    </w:p>
    <w:p w14:paraId="67043420">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7.2预付款：本项目无预付款。</w:t>
      </w:r>
    </w:p>
    <w:p w14:paraId="50CC685A">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7.3工程款支付：</w:t>
      </w:r>
      <w:r>
        <w:rPr>
          <w:sz w:val="24"/>
          <w:szCs w:val="24"/>
        </w:rPr>
        <w:t>工程完工</w:t>
      </w:r>
      <w:r>
        <w:rPr>
          <w:rFonts w:hint="eastAsia"/>
          <w:sz w:val="24"/>
          <w:szCs w:val="24"/>
        </w:rPr>
        <w:t>，</w:t>
      </w:r>
      <w:r>
        <w:rPr>
          <w:sz w:val="24"/>
          <w:szCs w:val="24"/>
        </w:rPr>
        <w:t>经甲方、乙方及相关部门共同验收合格</w:t>
      </w:r>
      <w:r>
        <w:rPr>
          <w:rFonts w:hint="eastAsia"/>
          <w:sz w:val="24"/>
          <w:szCs w:val="24"/>
        </w:rPr>
        <w:t>，</w:t>
      </w:r>
      <w:r>
        <w:rPr>
          <w:rFonts w:hint="eastAsia" w:ascii="宋体" w:hAnsi="宋体" w:cs="宋体"/>
          <w:sz w:val="24"/>
          <w:szCs w:val="24"/>
          <w:lang w:eastAsia="zh-CN"/>
        </w:rPr>
        <w:t>乙方</w:t>
      </w:r>
      <w:r>
        <w:rPr>
          <w:rFonts w:hint="eastAsia" w:ascii="宋体" w:hAnsi="宋体" w:cs="宋体"/>
          <w:sz w:val="24"/>
          <w:szCs w:val="24"/>
        </w:rPr>
        <w:t>办理完结算，</w:t>
      </w:r>
      <w:r>
        <w:rPr>
          <w:rFonts w:hint="eastAsia" w:ascii="宋体" w:hAnsi="宋体" w:cs="宋体"/>
          <w:sz w:val="24"/>
          <w:szCs w:val="24"/>
          <w:lang w:eastAsia="zh-CN"/>
        </w:rPr>
        <w:t>甲方</w:t>
      </w:r>
      <w:r>
        <w:rPr>
          <w:rFonts w:hint="eastAsia" w:ascii="宋体" w:hAnsi="宋体" w:cs="宋体"/>
          <w:sz w:val="24"/>
          <w:szCs w:val="24"/>
        </w:rPr>
        <w:t>收到</w:t>
      </w:r>
      <w:r>
        <w:rPr>
          <w:rFonts w:hint="eastAsia" w:ascii="宋体" w:hAnsi="宋体" w:cs="宋体"/>
          <w:sz w:val="24"/>
          <w:szCs w:val="24"/>
          <w:lang w:eastAsia="zh-CN"/>
        </w:rPr>
        <w:t>乙方</w:t>
      </w:r>
      <w:r>
        <w:rPr>
          <w:rFonts w:hint="eastAsia" w:ascii="宋体" w:hAnsi="宋体" w:cs="宋体"/>
          <w:sz w:val="24"/>
          <w:szCs w:val="24"/>
        </w:rPr>
        <w:t>发票后于次月</w:t>
      </w:r>
      <w:r>
        <w:rPr>
          <w:rFonts w:hint="eastAsia" w:ascii="宋体" w:hAnsi="宋体" w:cs="宋体"/>
          <w:sz w:val="24"/>
          <w:szCs w:val="24"/>
          <w:lang w:eastAsia="zh-CN"/>
        </w:rPr>
        <w:t>起</w:t>
      </w:r>
      <w:r>
        <w:rPr>
          <w:rFonts w:hint="eastAsia" w:ascii="宋体" w:hAnsi="宋体" w:cs="宋体"/>
          <w:sz w:val="24"/>
          <w:szCs w:val="24"/>
          <w:highlight w:val="none"/>
          <w:lang w:eastAsia="zh-CN"/>
        </w:rPr>
        <w:t>扣</w:t>
      </w:r>
      <w:r>
        <w:rPr>
          <w:rFonts w:hint="eastAsia" w:ascii="宋体" w:hAnsi="宋体" w:cs="宋体"/>
          <w:sz w:val="24"/>
          <w:szCs w:val="24"/>
          <w:highlight w:val="none"/>
        </w:rPr>
        <w:t>留质</w:t>
      </w:r>
      <w:r>
        <w:rPr>
          <w:rFonts w:hint="eastAsia" w:ascii="宋体" w:hAnsi="宋体" w:cs="宋体"/>
          <w:sz w:val="24"/>
          <w:szCs w:val="24"/>
        </w:rPr>
        <w:t>保金后</w:t>
      </w:r>
      <w:r>
        <w:rPr>
          <w:rFonts w:hint="eastAsia" w:ascii="宋体" w:hAnsi="宋体" w:cs="宋体"/>
          <w:sz w:val="24"/>
          <w:szCs w:val="24"/>
          <w:lang w:eastAsia="zh-CN"/>
        </w:rPr>
        <w:t>开始支付至半年内支付完成</w:t>
      </w:r>
      <w:r>
        <w:rPr>
          <w:rFonts w:hint="eastAsia" w:ascii="宋体" w:hAnsi="宋体" w:cs="宋体"/>
          <w:sz w:val="24"/>
          <w:szCs w:val="24"/>
        </w:rPr>
        <w:t>。</w:t>
      </w:r>
    </w:p>
    <w:p w14:paraId="5D5C501B">
      <w:pPr>
        <w:spacing w:line="540" w:lineRule="exact"/>
        <w:ind w:firstLine="480" w:firstLineChars="200"/>
        <w:rPr>
          <w:rFonts w:hint="eastAsia" w:ascii="宋体" w:hAnsi="宋体" w:cs="宋体"/>
          <w:sz w:val="24"/>
          <w:szCs w:val="24"/>
        </w:rPr>
      </w:pPr>
      <w:r>
        <w:rPr>
          <w:rFonts w:hint="eastAsia" w:ascii="宋体" w:hAnsi="宋体" w:cs="宋体"/>
          <w:sz w:val="24"/>
          <w:szCs w:val="24"/>
        </w:rPr>
        <w:t>7.4</w:t>
      </w:r>
      <w:r>
        <w:rPr>
          <w:sz w:val="24"/>
          <w:szCs w:val="24"/>
        </w:rPr>
        <w:t>乙方</w:t>
      </w:r>
      <w:r>
        <w:rPr>
          <w:rFonts w:hint="eastAsia"/>
          <w:sz w:val="24"/>
          <w:szCs w:val="24"/>
        </w:rPr>
        <w:t>须在</w:t>
      </w:r>
      <w:r>
        <w:rPr>
          <w:sz w:val="24"/>
          <w:szCs w:val="24"/>
        </w:rPr>
        <w:t>甲方付款</w:t>
      </w:r>
      <w:r>
        <w:rPr>
          <w:rFonts w:hint="eastAsia"/>
          <w:sz w:val="24"/>
          <w:szCs w:val="24"/>
        </w:rPr>
        <w:t>前</w:t>
      </w:r>
      <w:r>
        <w:rPr>
          <w:sz w:val="24"/>
          <w:szCs w:val="24"/>
        </w:rPr>
        <w:t>向甲方提供合法有效、金额正确的增值税</w:t>
      </w:r>
      <w:r>
        <w:rPr>
          <w:rFonts w:hint="eastAsia"/>
          <w:sz w:val="24"/>
          <w:szCs w:val="24"/>
        </w:rPr>
        <w:t>专用</w:t>
      </w:r>
      <w:r>
        <w:rPr>
          <w:sz w:val="24"/>
          <w:szCs w:val="24"/>
        </w:rPr>
        <w:t>发票，否则甲方有权</w:t>
      </w:r>
      <w:r>
        <w:rPr>
          <w:rFonts w:hint="eastAsia"/>
          <w:sz w:val="24"/>
          <w:szCs w:val="24"/>
        </w:rPr>
        <w:t>拒绝或</w:t>
      </w:r>
      <w:r>
        <w:rPr>
          <w:sz w:val="24"/>
          <w:szCs w:val="24"/>
        </w:rPr>
        <w:t>延迟付款。</w:t>
      </w:r>
    </w:p>
    <w:p w14:paraId="6EF9494C">
      <w:pPr>
        <w:spacing w:line="540" w:lineRule="exact"/>
        <w:ind w:firstLine="480" w:firstLineChars="200"/>
        <w:rPr>
          <w:rFonts w:hint="eastAsia" w:ascii="宋体" w:hAnsi="宋体" w:cs="宋体"/>
          <w:sz w:val="24"/>
          <w:szCs w:val="24"/>
          <w:highlight w:val="none"/>
        </w:rPr>
      </w:pPr>
      <w:r>
        <w:rPr>
          <w:rFonts w:hint="eastAsia" w:ascii="宋体" w:hAnsi="宋体" w:cs="宋体"/>
          <w:sz w:val="24"/>
          <w:szCs w:val="24"/>
        </w:rPr>
        <w:t>7.5</w:t>
      </w:r>
      <w:r>
        <w:rPr>
          <w:rFonts w:hint="eastAsia" w:ascii="宋体" w:hAnsi="宋体" w:cs="宋体"/>
          <w:sz w:val="24"/>
          <w:szCs w:val="24"/>
          <w:highlight w:val="none"/>
        </w:rPr>
        <w:t>质保金：工程完工，经甲方、乙方及相关部门共同验收合格，且达到甲方使用要求、归档资料交清，结算审核完毕，留工程结算总价款的3％作为工程质量保证金。</w:t>
      </w:r>
    </w:p>
    <w:p w14:paraId="4DFCC959">
      <w:pPr>
        <w:adjustRightInd w:val="0"/>
        <w:snapToGrid w:val="0"/>
        <w:spacing w:line="540" w:lineRule="exact"/>
        <w:ind w:firstLine="560"/>
        <w:rPr>
          <w:sz w:val="24"/>
          <w:szCs w:val="24"/>
          <w:highlight w:val="none"/>
        </w:rPr>
      </w:pPr>
      <w:r>
        <w:rPr>
          <w:rFonts w:hint="eastAsia" w:ascii="宋体" w:hAnsi="宋体" w:cs="宋体"/>
          <w:sz w:val="24"/>
          <w:szCs w:val="24"/>
          <w:highlight w:val="none"/>
        </w:rPr>
        <w:t>7.6质量保证金的返还：自工程验收合格之日起至缺陷责任期满</w:t>
      </w:r>
      <w:r>
        <w:rPr>
          <w:rFonts w:hint="eastAsia" w:ascii="宋体" w:hAnsi="宋体" w:cs="宋体"/>
          <w:sz w:val="24"/>
          <w:szCs w:val="24"/>
          <w:highlight w:val="none"/>
          <w:lang w:val="en-US" w:eastAsia="zh-CN"/>
        </w:rPr>
        <w:t>一年</w:t>
      </w:r>
      <w:r>
        <w:rPr>
          <w:rFonts w:hint="eastAsia" w:ascii="宋体" w:hAnsi="宋体" w:cs="宋体"/>
          <w:sz w:val="24"/>
          <w:szCs w:val="24"/>
          <w:highlight w:val="none"/>
        </w:rPr>
        <w:t>,无工程质量异议或有异议已得到解决后次月一次性返还质量保证金(不计利息)。</w:t>
      </w:r>
    </w:p>
    <w:p w14:paraId="5565F2F0">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八、工程质量、技术要求</w:t>
      </w:r>
    </w:p>
    <w:p w14:paraId="20A6BA78">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8.1 工程质量</w:t>
      </w:r>
    </w:p>
    <w:p w14:paraId="30D200AC">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8.1.1工程质量验收标准：质量检验评定标准执行现行国家、行业标准与规范。</w:t>
      </w:r>
    </w:p>
    <w:p w14:paraId="0749478E">
      <w:pPr>
        <w:spacing w:line="540" w:lineRule="exact"/>
        <w:ind w:firstLine="480" w:firstLineChars="200"/>
        <w:rPr>
          <w:rFonts w:ascii="宋体" w:hAnsi="宋体" w:cs="宋体"/>
          <w:sz w:val="24"/>
          <w:szCs w:val="24"/>
        </w:rPr>
      </w:pPr>
      <w:r>
        <w:rPr>
          <w:rFonts w:hint="eastAsia" w:ascii="宋体" w:hAnsi="宋体" w:cs="宋体"/>
          <w:sz w:val="24"/>
          <w:szCs w:val="24"/>
        </w:rPr>
        <w:t>8.1.2质量要求：</w:t>
      </w:r>
      <w:r>
        <w:rPr>
          <w:sz w:val="24"/>
          <w:szCs w:val="24"/>
        </w:rPr>
        <w:t>乙方应认真按照国家标准、规范要求施工，接受甲方的检查。工程质量达不到标准的，甲方有权要求乙方拆除或重新施工，造成返工的经济损失由乙方自行承担，直到符合约定标准</w:t>
      </w:r>
      <w:r>
        <w:rPr>
          <w:rFonts w:hint="eastAsia" w:ascii="宋体" w:hAnsi="宋体" w:cs="宋体"/>
          <w:sz w:val="24"/>
          <w:szCs w:val="24"/>
        </w:rPr>
        <w:t>。</w:t>
      </w:r>
    </w:p>
    <w:p w14:paraId="643175A0">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8.2 检查与返工</w:t>
      </w:r>
    </w:p>
    <w:p w14:paraId="71E2A265">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8.2.1乙方应严格按照国家标准、施工规范等要求组织施工，随时接受甲方代表、质量监督机构和有关部门的检查验收，并为检查验收提供便利条件。</w:t>
      </w:r>
    </w:p>
    <w:p w14:paraId="21B5555A">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8.2.2经检查验收，工程质量不合格时，乙方应按甲方的要求进行返工。因乙方原因达不到约定标准，由乙方承担拆除和重建等情况所产生的所有费用。</w:t>
      </w:r>
    </w:p>
    <w:p w14:paraId="237A9FF6">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8.3 交工验收</w:t>
      </w:r>
    </w:p>
    <w:p w14:paraId="07E5C1F9">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8.3.</w:t>
      </w:r>
      <w:r>
        <w:rPr>
          <w:rFonts w:ascii="宋体" w:hAnsi="宋体" w:cs="宋体"/>
          <w:sz w:val="24"/>
          <w:szCs w:val="24"/>
        </w:rPr>
        <w:t>1</w:t>
      </w:r>
      <w:r>
        <w:rPr>
          <w:rFonts w:hint="eastAsia" w:ascii="宋体" w:hAnsi="宋体" w:cs="宋体"/>
          <w:sz w:val="24"/>
          <w:szCs w:val="24"/>
        </w:rPr>
        <w:t>工程验收中若发现工程质量不合格，乙方应按规定期限进行整改，由此引起的工期延误及整改费用由乙方负责。</w:t>
      </w:r>
    </w:p>
    <w:p w14:paraId="32559C68">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8.3.</w:t>
      </w:r>
      <w:r>
        <w:rPr>
          <w:rFonts w:ascii="宋体" w:hAnsi="宋体" w:cs="宋体"/>
          <w:sz w:val="24"/>
          <w:szCs w:val="24"/>
        </w:rPr>
        <w:t>2</w:t>
      </w:r>
      <w:r>
        <w:rPr>
          <w:rFonts w:hint="eastAsia" w:ascii="宋体" w:hAnsi="宋体" w:cs="宋体"/>
          <w:sz w:val="24"/>
          <w:szCs w:val="24"/>
        </w:rPr>
        <w:t>在施工过程中，乙方因管理不善、安全防护措施不到位发生人身重大伤亡、设备损坏事故的，乙方除承担给甲方及自身造成的损失外，三年内禁止参与甲方施工招标。</w:t>
      </w:r>
    </w:p>
    <w:p w14:paraId="19B5D41C">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8.4 质量保修</w:t>
      </w:r>
    </w:p>
    <w:p w14:paraId="24678209">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8.4.1严格按《建设工程质量管理条例》执行，乙方应在质量保修期内对工程承担质量保修。本工程保修期为</w:t>
      </w:r>
      <w:r>
        <w:rPr>
          <w:rFonts w:hint="eastAsia" w:ascii="宋体" w:hAnsi="宋体" w:cs="宋体"/>
          <w:sz w:val="24"/>
          <w:szCs w:val="24"/>
          <w:lang w:val="en-US" w:eastAsia="zh-CN"/>
        </w:rPr>
        <w:t>一年</w:t>
      </w:r>
      <w:r>
        <w:rPr>
          <w:rFonts w:hint="eastAsia" w:ascii="宋体" w:hAnsi="宋体" w:cs="宋体"/>
          <w:sz w:val="24"/>
          <w:szCs w:val="24"/>
        </w:rPr>
        <w:t>，工程交工验收日起计算其质保期。</w:t>
      </w:r>
    </w:p>
    <w:p w14:paraId="00C12A40">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8.4.2质量保修金：本工程质量保修金为工程结算总价款的3％。</w:t>
      </w:r>
    </w:p>
    <w:p w14:paraId="34A214A0">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8.4.3乙方应按国家现行工程质量保修的有关规定在质量保修期内对工程承担质量保修。</w:t>
      </w:r>
    </w:p>
    <w:p w14:paraId="66115711">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8.4.4保修期内属乙方施工质量原因造成的修复，应按甲方要求的时间修复，所发生的费用由乙方承担。</w:t>
      </w:r>
    </w:p>
    <w:p w14:paraId="3CA4990E">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8.4.5在保修期满后，非乙方原因或甲方使用不当造成工程损坏、缺陷，由乙方在甲方要求的时限内负责修缮处理，所产生的费用由甲方承担。</w:t>
      </w:r>
    </w:p>
    <w:p w14:paraId="1C155116">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九、甲、乙双方权利义务</w:t>
      </w:r>
    </w:p>
    <w:p w14:paraId="097F306A">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9.1 甲方权利义务</w:t>
      </w:r>
    </w:p>
    <w:p w14:paraId="4F16B474">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9.1.1对工程进度、质量进行监督，组织好工程完工后的交接、验收。</w:t>
      </w:r>
    </w:p>
    <w:p w14:paraId="03BD2842">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9.1.2督促资料归档，组织完工工程量的审核，负责竣工结算及后续工作。</w:t>
      </w:r>
    </w:p>
    <w:p w14:paraId="44D5598F">
      <w:pPr>
        <w:adjustRightInd w:val="0"/>
        <w:snapToGrid w:val="0"/>
        <w:spacing w:line="540" w:lineRule="exact"/>
        <w:ind w:firstLine="561"/>
        <w:rPr>
          <w:rFonts w:ascii="宋体" w:hAnsi="宋体" w:cs="宋体"/>
          <w:sz w:val="24"/>
          <w:szCs w:val="24"/>
        </w:rPr>
      </w:pPr>
      <w:r>
        <w:rPr>
          <w:rFonts w:hint="eastAsia" w:ascii="宋体" w:hAnsi="宋体" w:cs="宋体"/>
          <w:sz w:val="24"/>
          <w:szCs w:val="24"/>
        </w:rPr>
        <w:t>9.1.3按照合同约定支付合同价款。</w:t>
      </w:r>
    </w:p>
    <w:p w14:paraId="4AAC1E7E">
      <w:pPr>
        <w:adjustRightInd w:val="0"/>
        <w:snapToGrid w:val="0"/>
        <w:spacing w:line="540" w:lineRule="exact"/>
        <w:ind w:firstLine="561"/>
        <w:rPr>
          <w:rFonts w:ascii="宋体" w:hAnsi="宋体" w:cs="宋体"/>
          <w:sz w:val="24"/>
          <w:szCs w:val="24"/>
        </w:rPr>
      </w:pPr>
      <w:r>
        <w:rPr>
          <w:rFonts w:hint="eastAsia" w:ascii="宋体" w:hAnsi="宋体" w:cs="宋体"/>
          <w:sz w:val="24"/>
          <w:szCs w:val="24"/>
        </w:rPr>
        <w:t>9</w:t>
      </w:r>
      <w:r>
        <w:rPr>
          <w:rFonts w:ascii="宋体" w:hAnsi="宋体" w:cs="宋体"/>
          <w:sz w:val="24"/>
          <w:szCs w:val="24"/>
        </w:rPr>
        <w:t>.1.4</w:t>
      </w:r>
      <w:r>
        <w:rPr>
          <w:rFonts w:hint="eastAsia" w:ascii="宋体" w:hAnsi="宋体" w:cs="宋体"/>
          <w:sz w:val="24"/>
          <w:szCs w:val="24"/>
        </w:rPr>
        <w:t>在支付款项前，有权要求乙方开具符合国家相关规定的9%增值税专用发票，否则，甲方有权延迟或拒绝支付款项。</w:t>
      </w:r>
    </w:p>
    <w:p w14:paraId="73BCB8F3">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9.2 乙方义务</w:t>
      </w:r>
    </w:p>
    <w:p w14:paraId="7E89379D">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9.2.1严格按</w:t>
      </w:r>
      <w:r>
        <w:rPr>
          <w:rFonts w:hint="eastAsia" w:ascii="宋体" w:hAnsi="宋体" w:cs="宋体"/>
          <w:sz w:val="24"/>
          <w:szCs w:val="24"/>
          <w:lang w:val="en-US" w:eastAsia="zh-CN"/>
        </w:rPr>
        <w:t>甲方要求</w:t>
      </w:r>
      <w:r>
        <w:rPr>
          <w:rFonts w:hint="eastAsia" w:ascii="宋体" w:hAnsi="宋体" w:cs="宋体"/>
          <w:sz w:val="24"/>
          <w:szCs w:val="24"/>
        </w:rPr>
        <w:t>施工，按法律规定和合同约定完成工程，并在保修期内承担保修义务。</w:t>
      </w:r>
    </w:p>
    <w:p w14:paraId="3C20B069">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9.2.</w:t>
      </w:r>
      <w:r>
        <w:rPr>
          <w:rFonts w:hint="eastAsia" w:ascii="宋体" w:hAnsi="宋体" w:cs="宋体"/>
          <w:sz w:val="24"/>
          <w:szCs w:val="24"/>
          <w:highlight w:val="none"/>
        </w:rPr>
        <w:t>2对所有施工作业和施工方法的完备性和安全可靠性负责。</w:t>
      </w:r>
    </w:p>
    <w:p w14:paraId="6DFE1D4A">
      <w:pPr>
        <w:adjustRightInd w:val="0"/>
        <w:snapToGrid w:val="0"/>
        <w:spacing w:line="540" w:lineRule="exact"/>
        <w:ind w:firstLine="561"/>
        <w:rPr>
          <w:rFonts w:ascii="宋体" w:hAnsi="宋体" w:cs="宋体"/>
          <w:sz w:val="24"/>
          <w:szCs w:val="24"/>
        </w:rPr>
      </w:pPr>
      <w:r>
        <w:rPr>
          <w:rFonts w:hint="eastAsia" w:ascii="宋体" w:hAnsi="宋体" w:cs="宋体"/>
          <w:sz w:val="24"/>
          <w:szCs w:val="24"/>
        </w:rPr>
        <w:t>9.2.3乙方承担的本工程项目不得转包或非法分包给不具备资质的单位或个人，否则自行承担相应的全部责任，并应向甲方支付本合同价款</w:t>
      </w:r>
      <w:r>
        <w:rPr>
          <w:rFonts w:ascii="宋体" w:hAnsi="宋体" w:cs="宋体"/>
          <w:sz w:val="24"/>
          <w:szCs w:val="24"/>
        </w:rPr>
        <w:t>30</w:t>
      </w:r>
      <w:r>
        <w:rPr>
          <w:rFonts w:hint="eastAsia" w:ascii="宋体" w:hAnsi="宋体" w:cs="宋体"/>
          <w:sz w:val="24"/>
          <w:szCs w:val="24"/>
        </w:rPr>
        <w:t>%违约金，并承担因此对甲方造成的损失。</w:t>
      </w:r>
    </w:p>
    <w:p w14:paraId="3BC71970">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9.2.4服从甲方的管理和协调，遵守甲方相关规定。</w:t>
      </w:r>
    </w:p>
    <w:p w14:paraId="5DD98612">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9.2.5服从甲方的指挥，制定切实可行的安全施工措施，负责施工现场的安全环卫工作，做好工程完工场清料净。</w:t>
      </w:r>
    </w:p>
    <w:p w14:paraId="0B92B95D">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9.2.6按期保质、保量、安全地完成工程施工任务，并接受甲方工程师的监督与管理。</w:t>
      </w:r>
    </w:p>
    <w:p w14:paraId="6CC449A1">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9.2.7乙方应及时反馈施工中出现的各种问题，并积极主动解决好有关问题。</w:t>
      </w:r>
    </w:p>
    <w:p w14:paraId="052E03C3">
      <w:pPr>
        <w:adjustRightInd w:val="0"/>
        <w:snapToGrid w:val="0"/>
        <w:spacing w:line="540" w:lineRule="exact"/>
        <w:ind w:firstLine="561"/>
        <w:rPr>
          <w:sz w:val="24"/>
          <w:szCs w:val="24"/>
        </w:rPr>
      </w:pPr>
      <w:r>
        <w:rPr>
          <w:rFonts w:hint="eastAsia" w:ascii="宋体" w:hAnsi="宋体" w:cs="宋体"/>
          <w:sz w:val="24"/>
          <w:szCs w:val="24"/>
        </w:rPr>
        <w:t>9.2.8</w:t>
      </w:r>
      <w:r>
        <w:rPr>
          <w:rFonts w:hint="eastAsia"/>
          <w:sz w:val="24"/>
          <w:szCs w:val="24"/>
        </w:rPr>
        <w:t>在支付款项前须</w:t>
      </w:r>
      <w:r>
        <w:rPr>
          <w:sz w:val="24"/>
          <w:szCs w:val="24"/>
        </w:rPr>
        <w:t>向甲方提供合法有效、金额正确的增值税</w:t>
      </w:r>
      <w:r>
        <w:rPr>
          <w:rFonts w:hint="eastAsia"/>
          <w:sz w:val="24"/>
          <w:szCs w:val="24"/>
        </w:rPr>
        <w:t>专用</w:t>
      </w:r>
      <w:r>
        <w:rPr>
          <w:sz w:val="24"/>
          <w:szCs w:val="24"/>
        </w:rPr>
        <w:t>发票</w:t>
      </w:r>
      <w:r>
        <w:rPr>
          <w:rFonts w:hint="eastAsia"/>
          <w:sz w:val="24"/>
          <w:szCs w:val="24"/>
        </w:rPr>
        <w:t>。</w:t>
      </w:r>
    </w:p>
    <w:p w14:paraId="0768F896">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十、安全、文明施工要求</w:t>
      </w:r>
    </w:p>
    <w:p w14:paraId="7A44339A">
      <w:pPr>
        <w:adjustRightInd w:val="0"/>
        <w:snapToGrid w:val="0"/>
        <w:spacing w:line="540" w:lineRule="exact"/>
        <w:ind w:firstLine="480" w:firstLineChars="200"/>
        <w:rPr>
          <w:rFonts w:hint="eastAsia" w:ascii="宋体" w:hAnsi="宋体" w:cs="宋体"/>
          <w:sz w:val="24"/>
          <w:szCs w:val="24"/>
        </w:rPr>
      </w:pPr>
      <w:r>
        <w:rPr>
          <w:rFonts w:hint="eastAsia" w:ascii="宋体" w:hAnsi="宋体" w:cs="宋体"/>
          <w:sz w:val="24"/>
          <w:szCs w:val="24"/>
        </w:rPr>
        <w:t>10.1需考虑相应安全施工措施方案，确保施工期间的施工安全。</w:t>
      </w:r>
    </w:p>
    <w:p w14:paraId="1DECF91C">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10.2高处作业、动火作业、吊装作业必须制定相应的安全措施防护方案，方案实施前须进行安全技术交底。</w:t>
      </w:r>
    </w:p>
    <w:p w14:paraId="7E3D3D8A">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10.3特殊工种人员须持证上岗。</w:t>
      </w:r>
    </w:p>
    <w:p w14:paraId="460F51B7">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10.4执行金平昆钢金河有限责任公司现行相关安全管理规定。</w:t>
      </w:r>
    </w:p>
    <w:p w14:paraId="739A67FB">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10.5乙方应服从甲方的统一管理。</w:t>
      </w:r>
    </w:p>
    <w:p w14:paraId="00ADBC9F">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10.6乙方应遵守安全生产管理规定，贯彻“安全第一、预防为主、综合治理”的方针，严格按安全生产标准组织施工，并接受行业安全生产检查人员依法监督检查，采取必要的安全防护措施，消除事故隐患。若由于乙方安全措施不力造成事故，责任和引发的费用，由乙方承担。</w:t>
      </w:r>
    </w:p>
    <w:p w14:paraId="3D2FC958">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10.7施工过程中发生伤亡及其它安全事故，乙方应按有关规定立即上报甲方和地方安全生产监督管理部门，同时按政府有关部门要求处理，并承担责任及引发的一切费用。</w:t>
      </w:r>
    </w:p>
    <w:p w14:paraId="0757219D">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10.8乙方应建立、健全安全生产责任制度，对所承担的工程进行定期和专项检查，同时保证本工程安全生产条件所需资金的投入。</w:t>
      </w:r>
    </w:p>
    <w:p w14:paraId="0E86C88D">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10.9乙方应对其在施工场地的从业人员按国家相关规定进行安全教育和培训，并对他们的安全负责。</w:t>
      </w:r>
    </w:p>
    <w:p w14:paraId="5273140F">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10.10安全生产管理执行《中华人民共和国安全生产法》《云南省安全生产管理条例》及甲方的安全生产管理规定。</w:t>
      </w:r>
    </w:p>
    <w:p w14:paraId="2132842A">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十一、材料、设备供应办法</w:t>
      </w:r>
    </w:p>
    <w:p w14:paraId="3D7DD0A3">
      <w:pPr>
        <w:spacing w:line="540" w:lineRule="exact"/>
        <w:ind w:firstLine="480" w:firstLineChars="200"/>
        <w:rPr>
          <w:rFonts w:hint="eastAsia"/>
          <w:sz w:val="24"/>
          <w:szCs w:val="24"/>
        </w:rPr>
      </w:pPr>
      <w:r>
        <w:rPr>
          <w:sz w:val="24"/>
          <w:szCs w:val="24"/>
        </w:rPr>
        <w:t>本工程所用材料、设备必须使用合格产品；否则，甲方有权要求拆除或重新采购合格产品，乙方承担发生的费用，由此延误的工期不予顺延。</w:t>
      </w:r>
    </w:p>
    <w:p w14:paraId="571F5A2C">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十二、违约责任</w:t>
      </w:r>
    </w:p>
    <w:p w14:paraId="3135CB79">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1</w:t>
      </w:r>
      <w:r>
        <w:rPr>
          <w:rFonts w:ascii="宋体" w:hAnsi="宋体" w:cs="宋体"/>
          <w:sz w:val="24"/>
          <w:szCs w:val="24"/>
        </w:rPr>
        <w:t>2</w:t>
      </w:r>
      <w:r>
        <w:rPr>
          <w:rFonts w:hint="eastAsia" w:ascii="宋体" w:hAnsi="宋体" w:cs="宋体"/>
          <w:sz w:val="24"/>
          <w:szCs w:val="24"/>
        </w:rPr>
        <w:t>.1乙方要严格按照合同执行，工期每延误一天向甲方支付违约金2000.00元（累计计算）从结算价款中扣除。延误超过10日的，甲方有权单方面解除本合同，乙方除支付违约金外，还应承担因此对甲方造成的全部损失。</w:t>
      </w:r>
    </w:p>
    <w:p w14:paraId="405DF5A6">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1</w:t>
      </w:r>
      <w:r>
        <w:rPr>
          <w:rFonts w:ascii="宋体" w:hAnsi="宋体" w:cs="宋体"/>
          <w:sz w:val="24"/>
          <w:szCs w:val="24"/>
        </w:rPr>
        <w:t>2</w:t>
      </w:r>
      <w:r>
        <w:rPr>
          <w:rFonts w:hint="eastAsia" w:ascii="宋体" w:hAnsi="宋体" w:cs="宋体"/>
          <w:sz w:val="24"/>
          <w:szCs w:val="24"/>
        </w:rPr>
        <w:t>.2</w:t>
      </w:r>
      <w:r>
        <w:rPr>
          <w:rFonts w:hint="eastAsia" w:ascii="宋体" w:hAnsi="宋体" w:cs="宋体"/>
          <w:color w:val="333333"/>
          <w:sz w:val="24"/>
          <w:szCs w:val="24"/>
        </w:rPr>
        <w:t>若工程质量验收不合格，乙方应自负费用整改至合格，工期不予中断、顺延；乙方拒绝整改或经过整改后乙方工程质量仍然不合格的，甲方有权单方面解除本合同并聘请第三方进行整改至合格，整改所需费用由乙方承担，乙方还应承担</w:t>
      </w:r>
      <w:r>
        <w:rPr>
          <w:rFonts w:hint="eastAsia" w:ascii="宋体" w:hAnsi="宋体" w:cs="宋体"/>
          <w:sz w:val="24"/>
          <w:szCs w:val="24"/>
        </w:rPr>
        <w:t>合同价10%</w:t>
      </w:r>
      <w:r>
        <w:rPr>
          <w:rFonts w:hint="eastAsia" w:ascii="宋体" w:hAnsi="宋体" w:cs="宋体"/>
          <w:color w:val="333333"/>
          <w:sz w:val="24"/>
          <w:szCs w:val="24"/>
        </w:rPr>
        <w:t>的违约金及给甲方造成的全部损失</w:t>
      </w:r>
      <w:r>
        <w:rPr>
          <w:rFonts w:hint="eastAsia" w:ascii="宋体" w:hAnsi="宋体" w:cs="宋体"/>
          <w:sz w:val="24"/>
          <w:szCs w:val="24"/>
        </w:rPr>
        <w:t>。</w:t>
      </w:r>
    </w:p>
    <w:p w14:paraId="09AE3E8F">
      <w:pPr>
        <w:adjustRightInd w:val="0"/>
        <w:snapToGrid w:val="0"/>
        <w:spacing w:line="540" w:lineRule="exact"/>
        <w:ind w:firstLine="561"/>
        <w:rPr>
          <w:rFonts w:hint="eastAsia" w:ascii="宋体" w:hAnsi="宋体" w:eastAsia="宋体" w:cs="宋体"/>
          <w:color w:val="333333"/>
          <w:sz w:val="24"/>
          <w:szCs w:val="24"/>
        </w:rPr>
      </w:pPr>
      <w:r>
        <w:rPr>
          <w:rFonts w:hint="eastAsia" w:ascii="宋体" w:hAnsi="宋体" w:eastAsia="宋体" w:cs="宋体"/>
          <w:color w:val="333333"/>
          <w:sz w:val="24"/>
          <w:szCs w:val="24"/>
        </w:rPr>
        <w:t>12.3乙方在保修期内，10日内未能对工程缺陷进行修复或拒绝按甲方要求进行修复的，甲方有权聘请第三方进行修复，修复所需费用由乙方承担。且甲方有权向工程所在地有管辖权的人民法院诉讼解决，诉讼费、律师费及其他实现权利的所有费用，由乙方承担。</w:t>
      </w:r>
    </w:p>
    <w:p w14:paraId="6C47EDA6">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w:t>
      </w:r>
      <w:r>
        <w:rPr>
          <w:rFonts w:ascii="宋体" w:hAnsi="宋体" w:cs="宋体"/>
          <w:sz w:val="24"/>
          <w:szCs w:val="24"/>
        </w:rPr>
        <w:t>2</w:t>
      </w:r>
      <w:r>
        <w:rPr>
          <w:rFonts w:hint="eastAsia" w:ascii="宋体" w:hAnsi="宋体" w:cs="宋体"/>
          <w:sz w:val="24"/>
          <w:szCs w:val="24"/>
        </w:rPr>
        <w:t>.4由于乙方安全措施不力造成伤亡和其它事故，乙方承担相应责任外，须赔偿甲方损失，并承担合同价10%的违约金，甲方亦可解除合同且无需承担任何违约责任。</w:t>
      </w:r>
    </w:p>
    <w:p w14:paraId="712831D5">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w:t>
      </w:r>
      <w:r>
        <w:rPr>
          <w:rFonts w:ascii="宋体" w:hAnsi="宋体" w:cs="宋体"/>
          <w:sz w:val="24"/>
          <w:szCs w:val="24"/>
        </w:rPr>
        <w:t>2</w:t>
      </w:r>
      <w:r>
        <w:rPr>
          <w:rFonts w:hint="eastAsia" w:ascii="宋体" w:hAnsi="宋体" w:cs="宋体"/>
          <w:sz w:val="24"/>
          <w:szCs w:val="24"/>
        </w:rPr>
        <w:t>.5因乙方单方面终止合同，由乙方按合同价的10%向甲方支付违约金，并赔偿由此给甲方造成的全部（直接和间接）经济损失。</w:t>
      </w:r>
    </w:p>
    <w:p w14:paraId="4F2A8AD9">
      <w:pPr>
        <w:adjustRightInd w:val="0"/>
        <w:snapToGrid w:val="0"/>
        <w:spacing w:line="540" w:lineRule="exact"/>
        <w:ind w:firstLine="480" w:firstLineChars="200"/>
        <w:rPr>
          <w:rFonts w:hint="eastAsia" w:ascii="宋体" w:hAnsi="宋体" w:cs="宋体"/>
          <w:sz w:val="24"/>
          <w:szCs w:val="24"/>
        </w:rPr>
      </w:pPr>
      <w:r>
        <w:rPr>
          <w:rFonts w:hint="eastAsia" w:ascii="宋体" w:hAnsi="宋体" w:cs="宋体"/>
          <w:sz w:val="24"/>
          <w:szCs w:val="24"/>
        </w:rPr>
        <w:t>1</w:t>
      </w:r>
      <w:r>
        <w:rPr>
          <w:rFonts w:ascii="宋体" w:hAnsi="宋体" w:cs="宋体"/>
          <w:sz w:val="24"/>
          <w:szCs w:val="24"/>
        </w:rPr>
        <w:t>2</w:t>
      </w:r>
      <w:r>
        <w:rPr>
          <w:rFonts w:hint="eastAsia" w:ascii="宋体" w:hAnsi="宋体" w:cs="宋体"/>
          <w:sz w:val="24"/>
          <w:szCs w:val="24"/>
        </w:rPr>
        <w:t>.6其余违约责任，合同其它条款已作约定的，按其执行；未作约定的，按《中华人民共和国民法典》有关条款执行。</w:t>
      </w:r>
    </w:p>
    <w:p w14:paraId="20EF29D8">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十三、保修</w:t>
      </w:r>
    </w:p>
    <w:p w14:paraId="0BE2A98A">
      <w:pPr>
        <w:adjustRightInd w:val="0"/>
        <w:snapToGrid w:val="0"/>
        <w:spacing w:line="540" w:lineRule="exact"/>
        <w:ind w:firstLine="480" w:firstLineChars="200"/>
        <w:rPr>
          <w:rFonts w:hint="eastAsia" w:ascii="宋体" w:hAnsi="宋体" w:cs="宋体"/>
          <w:sz w:val="24"/>
          <w:szCs w:val="24"/>
        </w:rPr>
      </w:pPr>
      <w:r>
        <w:rPr>
          <w:rFonts w:hint="eastAsia" w:ascii="宋体" w:hAnsi="宋体" w:cs="宋体"/>
          <w:sz w:val="24"/>
          <w:szCs w:val="24"/>
        </w:rPr>
        <w:t>13.1保修责任：工程保修期从工程竣工验收合格之日起计算（</w:t>
      </w:r>
      <w:r>
        <w:rPr>
          <w:rFonts w:hint="eastAsia" w:ascii="宋体" w:hAnsi="宋体" w:cs="宋体"/>
          <w:sz w:val="24"/>
          <w:szCs w:val="24"/>
          <w:lang w:val="en-US" w:eastAsia="zh-CN"/>
        </w:rPr>
        <w:t>一年</w:t>
      </w:r>
      <w:r>
        <w:rPr>
          <w:rFonts w:hint="eastAsia" w:ascii="宋体" w:hAnsi="宋体" w:cs="宋体"/>
          <w:sz w:val="24"/>
          <w:szCs w:val="24"/>
        </w:rPr>
        <w:t>），在工程保修期内，乙方应根据法律规定及合同约定承担保修责任。甲方未经竣工验收擅自使用工程的，保修期自转移占有之日起计算。</w:t>
      </w:r>
    </w:p>
    <w:p w14:paraId="352A519D">
      <w:pPr>
        <w:adjustRightInd w:val="0"/>
        <w:snapToGrid w:val="0"/>
        <w:spacing w:line="540" w:lineRule="exact"/>
        <w:ind w:firstLine="480" w:firstLineChars="200"/>
        <w:rPr>
          <w:rFonts w:hint="eastAsia" w:ascii="宋体" w:hAnsi="宋体" w:cs="宋体"/>
          <w:sz w:val="24"/>
          <w:szCs w:val="24"/>
        </w:rPr>
      </w:pPr>
      <w:r>
        <w:rPr>
          <w:rFonts w:hint="eastAsia" w:ascii="宋体" w:hAnsi="宋体" w:cs="宋体"/>
          <w:sz w:val="24"/>
          <w:szCs w:val="24"/>
        </w:rPr>
        <w:t>13.2保修期内，因乙方原因造成工程的缺陷、损坏，乙方应负责修复，并承担修复的费用以及因工程的缺陷、损坏造成的人身伤害和财产损失。</w:t>
      </w:r>
    </w:p>
    <w:p w14:paraId="2684856A">
      <w:pPr>
        <w:adjustRightInd w:val="0"/>
        <w:snapToGrid w:val="0"/>
        <w:spacing w:line="540" w:lineRule="exact"/>
        <w:ind w:firstLine="480" w:firstLineChars="200"/>
        <w:rPr>
          <w:rFonts w:ascii="宋体" w:hAnsi="宋体" w:cs="宋体"/>
          <w:sz w:val="24"/>
          <w:szCs w:val="24"/>
        </w:rPr>
      </w:pPr>
      <w:r>
        <w:rPr>
          <w:rFonts w:hint="eastAsia" w:ascii="宋体" w:hAnsi="宋体" w:cs="宋体"/>
          <w:sz w:val="24"/>
          <w:szCs w:val="24"/>
        </w:rPr>
        <w:t>13.3保修期内，因甲方使用不当造成工程的缺陷、损坏，可以委托乙方修复，甲方应承担修复的费用。</w:t>
      </w:r>
    </w:p>
    <w:p w14:paraId="27AC6E4E">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十四、其他</w:t>
      </w:r>
    </w:p>
    <w:p w14:paraId="18C028F1">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14.1乙方承诺不拖欠农民工工资，依法参加工伤保险，并为其从业人员足额缴纳工伤保险费用。</w:t>
      </w:r>
    </w:p>
    <w:p w14:paraId="23416858">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14.2乙方要进一步强化对施工队伍的管理，以保障农民工工资按时支付，杜绝在昆钢工程建设中因拖欠、克扣农民工工资和因此导致的群体上访事件的发生。</w:t>
      </w:r>
    </w:p>
    <w:p w14:paraId="49514585">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14.3若乙方拖欠、克扣农民工工资，甲方有权直接从工程款中支付乙方所拖欠、克扣的农民工工资给农民工。</w:t>
      </w:r>
    </w:p>
    <w:p w14:paraId="7716B67B">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14.4乙方是农民工工资支付管理的主体责任单位，应认真履行对施工发包各环节的农民工工资支付的监管职责，并对工程施工中农民工工资拖欠、克扣引起的后果负总责。</w:t>
      </w:r>
    </w:p>
    <w:p w14:paraId="24BECFE6">
      <w:pPr>
        <w:adjustRightInd w:val="0"/>
        <w:spacing w:line="540" w:lineRule="exact"/>
        <w:ind w:firstLine="480" w:firstLineChars="200"/>
        <w:rPr>
          <w:sz w:val="24"/>
          <w:szCs w:val="24"/>
        </w:rPr>
      </w:pPr>
      <w:r>
        <w:rPr>
          <w:rFonts w:hint="eastAsia" w:ascii="宋体" w:hAnsi="宋体" w:cs="宋体"/>
          <w:sz w:val="24"/>
          <w:szCs w:val="24"/>
        </w:rPr>
        <w:t>①</w:t>
      </w:r>
      <w:r>
        <w:rPr>
          <w:sz w:val="24"/>
          <w:szCs w:val="24"/>
        </w:rPr>
        <w:t>因乙方违反国家相关规定将工程项目分包、转包给不具备资质条件的单位或者个人造成农民工工资拖欠或克扣的，除由乙方承担清偿被拖欠或被克扣农民工工资连带责任外，对乙方拖欠、克扣农民工工资的违约行为，甲方有权</w:t>
      </w:r>
      <w:r>
        <w:rPr>
          <w:rFonts w:hint="eastAsia"/>
          <w:sz w:val="24"/>
          <w:szCs w:val="24"/>
        </w:rPr>
        <w:t>要求乙方支付违约金，违约金金额由甲方</w:t>
      </w:r>
      <w:r>
        <w:rPr>
          <w:sz w:val="24"/>
          <w:szCs w:val="24"/>
        </w:rPr>
        <w:t>视情节轻重</w:t>
      </w:r>
      <w:r>
        <w:rPr>
          <w:rFonts w:hint="eastAsia"/>
          <w:sz w:val="24"/>
          <w:szCs w:val="24"/>
        </w:rPr>
        <w:t>确定，但不得超过乙方</w:t>
      </w:r>
      <w:r>
        <w:rPr>
          <w:sz w:val="24"/>
          <w:szCs w:val="24"/>
        </w:rPr>
        <w:t>拖欠、克扣农民工工资数额的3倍，违约金由甲方从工程款中直接扣除。</w:t>
      </w:r>
    </w:p>
    <w:p w14:paraId="609532B7">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②因乙方监管不力，农民工认为乙方拖欠或克扣其工资的，可持相关拖欠、克扣证据向甲方投诉。</w:t>
      </w:r>
    </w:p>
    <w:p w14:paraId="49B71F2E">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14.5如乙方发生拖欠或克扣农民工工资行为，将被列为不诚信单位，记入诚信档案，通过媒体向社会公开，并对其昆钢建筑市场准入、招投标资格和中标承包工程项目进行限制。</w:t>
      </w:r>
    </w:p>
    <w:p w14:paraId="57405DD6">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14.6因乙方擅自变更设计发生的费用和由此导致甲方的直接损失，由乙方承担责任和费用，延误的工期不予顺延。</w:t>
      </w:r>
    </w:p>
    <w:p w14:paraId="77068381">
      <w:pPr>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14.7若因国家政策和市场变化或其他不可抗力影响导致甲方停工、停产、减产，甲方不承担停工、停产、减产期间对乙方造成的一切损失，复产后双方继续履行合同。</w:t>
      </w:r>
    </w:p>
    <w:p w14:paraId="649998EA">
      <w:pPr>
        <w:adjustRightInd w:val="0"/>
        <w:snapToGrid w:val="0"/>
        <w:spacing w:line="540" w:lineRule="exact"/>
        <w:ind w:firstLine="560"/>
        <w:rPr>
          <w:rFonts w:hint="eastAsia" w:ascii="宋体" w:hAnsi="宋体"/>
          <w:sz w:val="24"/>
          <w:szCs w:val="24"/>
        </w:rPr>
      </w:pPr>
      <w:r>
        <w:rPr>
          <w:rFonts w:hint="eastAsia" w:ascii="宋体" w:hAnsi="宋体" w:cs="宋体"/>
          <w:sz w:val="24"/>
          <w:szCs w:val="24"/>
        </w:rPr>
        <w:t>14.8甲方承诺按合同约定的期限和支付方式支付合同价款及其它应当支</w:t>
      </w:r>
      <w:r>
        <w:rPr>
          <w:rFonts w:hint="eastAsia" w:ascii="宋体" w:hAnsi="宋体"/>
          <w:sz w:val="24"/>
          <w:szCs w:val="24"/>
        </w:rPr>
        <w:t>付的款项。</w:t>
      </w:r>
    </w:p>
    <w:p w14:paraId="1F950643">
      <w:pPr>
        <w:tabs>
          <w:tab w:val="center" w:pos="4393"/>
          <w:tab w:val="left" w:pos="6010"/>
        </w:tabs>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十五、发生生产安全责任事故、火灾责任事故造成工亡的赔偿</w:t>
      </w:r>
    </w:p>
    <w:p w14:paraId="02DCBF22">
      <w:pPr>
        <w:tabs>
          <w:tab w:val="center" w:pos="4393"/>
          <w:tab w:val="left" w:pos="6010"/>
        </w:tabs>
        <w:adjustRightInd w:val="0"/>
        <w:snapToGrid w:val="0"/>
        <w:spacing w:line="540" w:lineRule="exact"/>
        <w:ind w:firstLine="480" w:firstLineChars="200"/>
        <w:rPr>
          <w:rFonts w:hint="eastAsia" w:ascii="宋体" w:hAnsi="宋体" w:cs="宋体"/>
          <w:sz w:val="24"/>
          <w:szCs w:val="24"/>
        </w:rPr>
      </w:pPr>
      <w:r>
        <w:rPr>
          <w:rFonts w:hint="eastAsia" w:ascii="宋体" w:hAnsi="宋体" w:cs="宋体"/>
          <w:sz w:val="24"/>
          <w:szCs w:val="24"/>
        </w:rPr>
        <w:t>15.1赔偿标准</w:t>
      </w:r>
    </w:p>
    <w:p w14:paraId="6E5249C4">
      <w:pPr>
        <w:tabs>
          <w:tab w:val="center" w:pos="4393"/>
          <w:tab w:val="left" w:pos="6010"/>
        </w:tabs>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15.1.1 工亡1人，赔偿金额为该合同竣工结算金额的10%，如合同竣工结算金额的10%不足100万元的按100万元进行赔偿，赔偿金额最高不超过1000万元。</w:t>
      </w:r>
    </w:p>
    <w:p w14:paraId="2AE3049C">
      <w:pPr>
        <w:tabs>
          <w:tab w:val="center" w:pos="4393"/>
          <w:tab w:val="left" w:pos="6010"/>
        </w:tabs>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15.1.2 工亡2人，赔偿金额为该合同竣工结算金额的20%，如合同竣工结算金额的20%不足200万元的按200万元进行赔偿，赔偿金额最高不超过2000万元。</w:t>
      </w:r>
    </w:p>
    <w:p w14:paraId="4D57B1E8">
      <w:pPr>
        <w:tabs>
          <w:tab w:val="center" w:pos="4393"/>
          <w:tab w:val="left" w:pos="6010"/>
        </w:tabs>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15.1.3 工亡3人以上（含3人），赔偿金额为该合同竣工结算金额的30%，如合同竣工结算金额的30%不足300万元的按300万元进行赔偿，赔偿金额最高不超过3000万元。</w:t>
      </w:r>
    </w:p>
    <w:p w14:paraId="12E38433">
      <w:pPr>
        <w:tabs>
          <w:tab w:val="center" w:pos="4393"/>
          <w:tab w:val="left" w:pos="6010"/>
        </w:tabs>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15.1.4 发生上述生产安全责任事故、火灾责任事故后，须及时上报甲方，不得瞒报、迟报，瞒报、迟报事故的，否则由乙方承担所有一切责任并且赔偿金加倍。</w:t>
      </w:r>
    </w:p>
    <w:p w14:paraId="5102C50E">
      <w:pPr>
        <w:tabs>
          <w:tab w:val="center" w:pos="4393"/>
          <w:tab w:val="left" w:pos="6010"/>
        </w:tabs>
        <w:adjustRightInd w:val="0"/>
        <w:snapToGrid w:val="0"/>
        <w:spacing w:line="540" w:lineRule="exact"/>
        <w:ind w:firstLine="560"/>
        <w:rPr>
          <w:rFonts w:hint="eastAsia" w:ascii="宋体" w:hAnsi="宋体" w:cs="宋体"/>
          <w:sz w:val="24"/>
          <w:szCs w:val="24"/>
        </w:rPr>
      </w:pPr>
      <w:r>
        <w:rPr>
          <w:rFonts w:hint="eastAsia" w:ascii="宋体" w:hAnsi="宋体" w:cs="宋体"/>
          <w:sz w:val="24"/>
          <w:szCs w:val="24"/>
        </w:rPr>
        <w:t>15.2事故赔偿金缴纳</w:t>
      </w:r>
    </w:p>
    <w:p w14:paraId="513DAEFE">
      <w:pPr>
        <w:adjustRightInd w:val="0"/>
        <w:snapToGrid w:val="0"/>
        <w:spacing w:line="540" w:lineRule="exact"/>
        <w:ind w:firstLine="560"/>
        <w:rPr>
          <w:rFonts w:hint="eastAsia" w:ascii="宋体" w:hAnsi="宋体"/>
          <w:sz w:val="24"/>
          <w:szCs w:val="24"/>
        </w:rPr>
      </w:pPr>
      <w:r>
        <w:rPr>
          <w:rFonts w:hint="eastAsia" w:ascii="宋体" w:hAnsi="宋体" w:cs="宋体"/>
          <w:sz w:val="24"/>
          <w:szCs w:val="24"/>
        </w:rPr>
        <w:t>发生工亡的生产安全责任事故、亡人火灾责任事故后，由甲方应急管理部下发事故赔偿通知至乙方，由乙方主要负责人确认后，在5个工作日内乙方应将赔偿金交甲方财务部。若乙方未在规定时限内缴纳的，甲方有权在</w:t>
      </w:r>
      <w:r>
        <w:rPr>
          <w:rFonts w:hint="eastAsia" w:ascii="宋体" w:hAnsi="宋体" w:cs="宋体"/>
          <w:color w:val="000000"/>
          <w:sz w:val="24"/>
          <w:szCs w:val="24"/>
          <w:lang w:bidi="ar"/>
        </w:rPr>
        <w:t>事故发生当月从乙方未支付工程款中按合同暂估价/合同价×对应比例及约定予以扣除（不足部分依次推至次月扣除，直至按比例及约定足额扣除）；在合同履行完并办理完竣工结算手续后5个工作日内，由甲方根据最终的竣工结算金额进行核算并确认最终赔偿金，若不足部分乙方须在最终赔偿金确认后5个工作日内补足或者甲方有权从其他应付乙方工程款等中扣除，若多缴纳的甲方须在最终赔偿金确认后5个工作日内退还乙方。</w:t>
      </w:r>
    </w:p>
    <w:p w14:paraId="727AA52D">
      <w:pPr>
        <w:adjustRightInd w:val="0"/>
        <w:snapToGrid w:val="0"/>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十六、不可抗力</w:t>
      </w:r>
    </w:p>
    <w:p w14:paraId="49B7AD8A">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不可抗力是指不能预见、不能避免并不能克服的客观情况。包括因战争、疫情、空中飞行物体坠落或其他非甲方、乙方责任造成的爆炸、火灾等，风、雨、雷、洪、震等自然灾害。不可抗力发生后，乙方应立即通知甲方，并在力所能及的条件下迅速采取措施，尽力减少损失。因不可抗力导致的费用及延误的工期由双方按以下方法分别承担：</w:t>
      </w:r>
    </w:p>
    <w:p w14:paraId="3762E27E">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16.1工程本身的损害，由甲方承担。</w:t>
      </w:r>
    </w:p>
    <w:p w14:paraId="7C37B2E8">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16.2甲方、乙方人员伤亡由其所在单位负责。</w:t>
      </w:r>
    </w:p>
    <w:p w14:paraId="63429105">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16.3乙方机械、设备损坏及停工损失，由乙方承担。</w:t>
      </w:r>
    </w:p>
    <w:p w14:paraId="10508DC9">
      <w:pPr>
        <w:adjustRightInd w:val="0"/>
        <w:snapToGrid w:val="0"/>
        <w:spacing w:line="540" w:lineRule="exact"/>
        <w:ind w:firstLine="561"/>
        <w:rPr>
          <w:rFonts w:hint="eastAsia" w:ascii="宋体" w:hAnsi="宋体" w:cs="宋体"/>
          <w:sz w:val="24"/>
          <w:szCs w:val="24"/>
        </w:rPr>
      </w:pPr>
      <w:r>
        <w:rPr>
          <w:rFonts w:hint="eastAsia" w:ascii="宋体" w:hAnsi="宋体" w:cs="宋体"/>
          <w:sz w:val="24"/>
          <w:szCs w:val="24"/>
        </w:rPr>
        <w:t>16.4工程所需清理、修复费用，由甲方承担。</w:t>
      </w:r>
    </w:p>
    <w:p w14:paraId="70E48154">
      <w:pPr>
        <w:adjustRightInd w:val="0"/>
        <w:snapToGrid w:val="0"/>
        <w:spacing w:line="540" w:lineRule="exact"/>
        <w:ind w:firstLine="561"/>
        <w:rPr>
          <w:rFonts w:hint="eastAsia" w:ascii="宋体" w:hAnsi="宋体"/>
          <w:bCs/>
          <w:sz w:val="24"/>
          <w:szCs w:val="24"/>
        </w:rPr>
      </w:pPr>
      <w:r>
        <w:rPr>
          <w:rFonts w:hint="eastAsia" w:ascii="宋体" w:hAnsi="宋体" w:cs="宋体"/>
          <w:sz w:val="24"/>
          <w:szCs w:val="24"/>
        </w:rPr>
        <w:t>16.5延误的工期相应顺延</w:t>
      </w:r>
      <w:r>
        <w:rPr>
          <w:rFonts w:hint="eastAsia" w:ascii="宋体" w:hAnsi="宋体"/>
          <w:bCs/>
          <w:sz w:val="24"/>
          <w:szCs w:val="24"/>
        </w:rPr>
        <w:t>。</w:t>
      </w:r>
    </w:p>
    <w:p w14:paraId="2239A628">
      <w:pPr>
        <w:spacing w:line="540" w:lineRule="exact"/>
        <w:ind w:firstLine="480" w:firstLineChars="200"/>
        <w:rPr>
          <w:rFonts w:hint="eastAsia" w:ascii="宋体" w:hAnsi="宋体"/>
          <w:sz w:val="24"/>
          <w:szCs w:val="24"/>
        </w:rPr>
      </w:pPr>
      <w:r>
        <w:rPr>
          <w:rFonts w:hint="eastAsia" w:ascii="黑体" w:hAnsi="黑体" w:eastAsia="黑体" w:cs="黑体"/>
          <w:sz w:val="24"/>
          <w:szCs w:val="24"/>
        </w:rPr>
        <w:t>十七、争议的解决：</w:t>
      </w:r>
      <w:r>
        <w:rPr>
          <w:rFonts w:hint="eastAsia" w:ascii="宋体" w:hAnsi="宋体"/>
          <w:sz w:val="24"/>
          <w:szCs w:val="24"/>
        </w:rPr>
        <w:t>本合同在履行过程中发生的争议，双方友好协商解决（</w:t>
      </w:r>
      <w:r>
        <w:rPr>
          <w:rFonts w:hint="eastAsia" w:ascii="宋体" w:hAnsi="宋体" w:cs="仿宋"/>
          <w:color w:val="000000"/>
          <w:sz w:val="24"/>
          <w:szCs w:val="24"/>
        </w:rPr>
        <w:t>友好协商期间，各方当事人应继续履行合同项下各自的义务</w:t>
      </w:r>
      <w:r>
        <w:rPr>
          <w:rFonts w:hint="eastAsia" w:ascii="宋体" w:hAnsi="宋体"/>
          <w:sz w:val="24"/>
          <w:szCs w:val="24"/>
        </w:rPr>
        <w:t>）；经协商不能达成一致的，可依法向工程所在地有管辖权的人民法院诉讼解决，诉讼费、律师费及其他实现权利的所有费用，由违约方承担。</w:t>
      </w:r>
    </w:p>
    <w:p w14:paraId="7B17799E">
      <w:pPr>
        <w:spacing w:line="540"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十八、送达地址：</w:t>
      </w:r>
    </w:p>
    <w:p w14:paraId="67A48FAF">
      <w:pPr>
        <w:spacing w:line="540" w:lineRule="exact"/>
        <w:ind w:firstLine="480" w:firstLineChars="200"/>
        <w:outlineLvl w:val="0"/>
        <w:rPr>
          <w:rFonts w:hint="eastAsia" w:ascii="宋体" w:hAnsi="宋体" w:cs="宋体"/>
          <w:sz w:val="24"/>
          <w:szCs w:val="24"/>
        </w:rPr>
      </w:pPr>
      <w:r>
        <w:rPr>
          <w:rFonts w:hint="eastAsia" w:ascii="宋体" w:hAnsi="宋体" w:cs="宋体"/>
          <w:sz w:val="24"/>
          <w:szCs w:val="24"/>
        </w:rPr>
        <w:t>18.1甲方确认其有效的送达地址为：云南省红河州金平县勐桥乡金平昆钢金河有限责任公司。</w:t>
      </w:r>
    </w:p>
    <w:p w14:paraId="6C98E6D3">
      <w:pPr>
        <w:spacing w:line="540" w:lineRule="exact"/>
        <w:ind w:firstLine="480" w:firstLineChars="200"/>
        <w:rPr>
          <w:rFonts w:hint="eastAsia" w:ascii="宋体" w:hAnsi="宋体" w:cs="宋体"/>
          <w:sz w:val="24"/>
          <w:szCs w:val="24"/>
          <w:highlight w:val="yellow"/>
        </w:rPr>
      </w:pPr>
      <w:r>
        <w:rPr>
          <w:rFonts w:hint="eastAsia" w:ascii="宋体" w:hAnsi="宋体" w:cs="宋体"/>
          <w:sz w:val="24"/>
          <w:szCs w:val="24"/>
        </w:rPr>
        <w:t>18.2乙方确认其有效的送达地址为：</w:t>
      </w:r>
      <w:r>
        <w:rPr>
          <w:rFonts w:hint="eastAsia" w:ascii="宋体" w:hAnsi="宋体" w:eastAsia="宋体" w:cs="宋体"/>
          <w:sz w:val="24"/>
          <w:szCs w:val="24"/>
          <w:lang w:val="en-US" w:eastAsia="zh-CN"/>
        </w:rPr>
        <w:t>XXXXXXXXXXXXXXXX</w:t>
      </w:r>
      <w:r>
        <w:rPr>
          <w:rFonts w:hint="eastAsia" w:ascii="宋体" w:hAnsi="宋体" w:cs="宋体"/>
          <w:sz w:val="24"/>
          <w:szCs w:val="24"/>
          <w:u w:val="none"/>
          <w:lang w:val="en-US" w:eastAsia="zh-CN"/>
        </w:rPr>
        <w:t>。</w:t>
      </w:r>
    </w:p>
    <w:p w14:paraId="33E74D3C">
      <w:pPr>
        <w:spacing w:line="540" w:lineRule="exact"/>
        <w:ind w:firstLine="480" w:firstLineChars="200"/>
        <w:outlineLvl w:val="0"/>
        <w:rPr>
          <w:rFonts w:ascii="宋体" w:hAnsi="宋体" w:cs="宋体"/>
          <w:sz w:val="24"/>
          <w:szCs w:val="24"/>
        </w:rPr>
      </w:pPr>
      <w:r>
        <w:rPr>
          <w:rFonts w:hint="eastAsia" w:ascii="宋体" w:hAnsi="宋体" w:cs="宋体"/>
          <w:sz w:val="24"/>
          <w:szCs w:val="24"/>
        </w:rPr>
        <w:t>18.3送达地址适用范围</w:t>
      </w:r>
    </w:p>
    <w:p w14:paraId="33049EA3">
      <w:pPr>
        <w:widowControl/>
        <w:spacing w:line="540" w:lineRule="exact"/>
        <w:ind w:firstLine="480" w:firstLineChars="200"/>
        <w:rPr>
          <w:rFonts w:hint="eastAsia" w:ascii="宋体" w:hAnsi="宋体"/>
          <w:sz w:val="24"/>
          <w:szCs w:val="24"/>
        </w:rPr>
      </w:pPr>
      <w:r>
        <w:rPr>
          <w:rFonts w:hint="eastAsia" w:ascii="宋体" w:hAnsi="宋体"/>
          <w:sz w:val="24"/>
          <w:szCs w:val="24"/>
        </w:rPr>
        <w:t xml:space="preserve">送达地址适用范围上述送达地址适用于本合同相关的各类通知、协议、文书的送达，包括但不限于合同履行期间各类通知、协议等文件的送达，以及合同发生纠纷时相关文件和法律文书的送达，同时包括争议进入仲裁、民事诉讼程序后一审、二审、再审和执行程序及其他程序中相关文件的送达。 </w:t>
      </w:r>
    </w:p>
    <w:p w14:paraId="66BB43D9">
      <w:pPr>
        <w:spacing w:line="540" w:lineRule="exact"/>
        <w:ind w:firstLine="480" w:firstLineChars="200"/>
        <w:outlineLvl w:val="0"/>
        <w:rPr>
          <w:rFonts w:ascii="宋体" w:hAnsi="宋体" w:cs="宋体"/>
          <w:sz w:val="24"/>
          <w:szCs w:val="24"/>
        </w:rPr>
      </w:pPr>
      <w:r>
        <w:rPr>
          <w:rFonts w:hint="eastAsia" w:ascii="宋体" w:hAnsi="宋体" w:cs="宋体"/>
          <w:sz w:val="24"/>
          <w:szCs w:val="24"/>
        </w:rPr>
        <w:t>18.4送达地址的变更</w:t>
      </w:r>
    </w:p>
    <w:p w14:paraId="3FED8684">
      <w:pPr>
        <w:widowControl/>
        <w:spacing w:line="540" w:lineRule="exact"/>
        <w:ind w:firstLine="480" w:firstLineChars="200"/>
        <w:rPr>
          <w:rFonts w:hint="eastAsia" w:ascii="宋体" w:hAnsi="宋体"/>
          <w:sz w:val="24"/>
          <w:szCs w:val="24"/>
        </w:rPr>
      </w:pPr>
      <w:r>
        <w:rPr>
          <w:rFonts w:hint="eastAsia" w:ascii="宋体" w:hAnsi="宋体"/>
          <w:sz w:val="24"/>
          <w:szCs w:val="24"/>
        </w:rPr>
        <w:t>（1）如需变更送达地址，应提前通过书面通知的方式送达对方。</w:t>
      </w:r>
    </w:p>
    <w:p w14:paraId="4A9F477B">
      <w:pPr>
        <w:widowControl/>
        <w:spacing w:line="540" w:lineRule="exact"/>
        <w:ind w:firstLine="480" w:firstLineChars="200"/>
        <w:rPr>
          <w:rFonts w:hint="eastAsia" w:ascii="宋体" w:hAnsi="宋体"/>
          <w:sz w:val="24"/>
          <w:szCs w:val="24"/>
        </w:rPr>
      </w:pPr>
      <w:r>
        <w:rPr>
          <w:rFonts w:hint="eastAsia" w:ascii="宋体" w:hAnsi="宋体"/>
          <w:sz w:val="24"/>
          <w:szCs w:val="24"/>
        </w:rPr>
        <w:t xml:space="preserve">（2）一方在民事诉讼中变更地址的，该方还应向法院履行书面通知义务。 </w:t>
      </w:r>
    </w:p>
    <w:p w14:paraId="7AB37DE8">
      <w:pPr>
        <w:widowControl/>
        <w:spacing w:line="540" w:lineRule="exact"/>
        <w:ind w:firstLine="480" w:firstLineChars="200"/>
        <w:rPr>
          <w:rFonts w:hint="eastAsia" w:ascii="宋体" w:hAnsi="宋体"/>
          <w:sz w:val="24"/>
          <w:szCs w:val="24"/>
        </w:rPr>
      </w:pPr>
      <w:r>
        <w:rPr>
          <w:rFonts w:hint="eastAsia" w:ascii="宋体" w:hAnsi="宋体"/>
          <w:sz w:val="24"/>
          <w:szCs w:val="24"/>
        </w:rPr>
        <w:t>（3）一方按上述约定履行变更通知义务后，以其变更后的送达地址为有效送达地址，否则其之前确认的送达地址仍为有效送达地址。</w:t>
      </w:r>
    </w:p>
    <w:p w14:paraId="0EF0AE76">
      <w:pPr>
        <w:widowControl/>
        <w:spacing w:line="540" w:lineRule="exact"/>
        <w:ind w:firstLine="480" w:firstLineChars="200"/>
        <w:rPr>
          <w:rFonts w:ascii="宋体" w:hAnsi="宋体" w:cs="宋体"/>
          <w:sz w:val="24"/>
          <w:szCs w:val="24"/>
        </w:rPr>
      </w:pPr>
      <w:r>
        <w:rPr>
          <w:rFonts w:hint="eastAsia" w:ascii="宋体" w:hAnsi="宋体" w:cs="宋体"/>
          <w:sz w:val="24"/>
          <w:szCs w:val="24"/>
        </w:rPr>
        <w:t>18.5</w:t>
      </w:r>
      <w:r>
        <w:rPr>
          <w:rFonts w:hint="eastAsia" w:ascii="宋体" w:hAnsi="宋体"/>
          <w:sz w:val="24"/>
          <w:szCs w:val="24"/>
        </w:rPr>
        <w:t xml:space="preserve">对于上述送达地址，法院可直接邮寄送达，即使当事人未能收到法院邮寄送达的文件，由于上述约定，也应视为送达。 </w:t>
      </w:r>
    </w:p>
    <w:p w14:paraId="4E768DAC">
      <w:pPr>
        <w:spacing w:line="540" w:lineRule="exact"/>
        <w:ind w:firstLine="480" w:firstLineChars="200"/>
        <w:outlineLvl w:val="0"/>
        <w:rPr>
          <w:rFonts w:hint="eastAsia" w:ascii="宋体" w:hAnsi="宋体"/>
          <w:bCs/>
          <w:sz w:val="24"/>
          <w:szCs w:val="24"/>
        </w:rPr>
      </w:pPr>
      <w:r>
        <w:rPr>
          <w:rFonts w:hint="eastAsia" w:ascii="宋体" w:hAnsi="宋体" w:cs="宋体"/>
          <w:sz w:val="24"/>
          <w:szCs w:val="24"/>
        </w:rPr>
        <w:t>18.6</w:t>
      </w:r>
      <w:r>
        <w:rPr>
          <w:rFonts w:hint="eastAsia" w:ascii="宋体" w:hAnsi="宋体"/>
          <w:sz w:val="24"/>
          <w:szCs w:val="24"/>
        </w:rPr>
        <w:t>因任何一方提供或确认的送达地址不准确、送达地址变更 后未在两个工作日内向对方发送书面通知书的、该方或其指定的接 收人拒绝签收等原因，导致通知、协议、法律文书等各类文件未能被该方实际接收的，邮寄送达的，以文件退回之日为送达之日；直接送达的，以送达人当场在送达回证上记明情况之日为送达之日</w:t>
      </w:r>
      <w:r>
        <w:rPr>
          <w:rFonts w:hint="eastAsia" w:ascii="宋体" w:hAnsi="宋体" w:cs="宋体"/>
          <w:sz w:val="24"/>
          <w:szCs w:val="24"/>
        </w:rPr>
        <w:t>。</w:t>
      </w:r>
    </w:p>
    <w:p w14:paraId="42073697">
      <w:pPr>
        <w:spacing w:line="540" w:lineRule="exact"/>
        <w:ind w:firstLine="480" w:firstLineChars="200"/>
        <w:rPr>
          <w:rFonts w:ascii="宋体" w:hAnsi="宋体"/>
          <w:sz w:val="24"/>
          <w:szCs w:val="24"/>
        </w:rPr>
      </w:pPr>
      <w:r>
        <w:rPr>
          <w:rFonts w:hint="eastAsia" w:ascii="黑体" w:hAnsi="黑体" w:eastAsia="黑体" w:cs="黑体"/>
          <w:sz w:val="24"/>
          <w:szCs w:val="24"/>
        </w:rPr>
        <w:t>十九、合同的生效与终止：</w:t>
      </w:r>
      <w:r>
        <w:rPr>
          <w:rFonts w:hint="eastAsia" w:ascii="宋体" w:hAnsi="宋体"/>
          <w:sz w:val="24"/>
          <w:szCs w:val="24"/>
        </w:rPr>
        <w:t>本合同自双方法定代表人或授权委托代理人签字并加盖合同专用章或单位公章之日起生效，工程施工完毕验收合格，归档资料交清、竣工结算办理完毕、款项支付完毕时终止。合同终止不影响承包人质量保修义务的履行。</w:t>
      </w:r>
    </w:p>
    <w:p w14:paraId="19306035">
      <w:pPr>
        <w:spacing w:line="540" w:lineRule="exact"/>
        <w:ind w:firstLine="480" w:firstLineChars="200"/>
        <w:rPr>
          <w:rFonts w:hint="eastAsia" w:ascii="宋体" w:hAnsi="宋体" w:cs="新宋体"/>
          <w:b/>
          <w:bCs/>
          <w:color w:val="000000"/>
          <w:sz w:val="24"/>
          <w:szCs w:val="24"/>
        </w:rPr>
      </w:pPr>
      <w:r>
        <w:rPr>
          <w:rFonts w:hint="eastAsia" w:ascii="黑体" w:hAnsi="黑体" w:eastAsia="黑体" w:cs="黑体"/>
          <w:sz w:val="24"/>
          <w:szCs w:val="24"/>
        </w:rPr>
        <w:t>二十、合同份数：</w:t>
      </w:r>
      <w:r>
        <w:rPr>
          <w:rFonts w:hint="eastAsia" w:ascii="宋体" w:hAnsi="宋体"/>
          <w:sz w:val="24"/>
          <w:szCs w:val="24"/>
        </w:rPr>
        <w:t>本合同一式肆份，甲方执叁份，乙方执壹份，均具有同等法律效力。</w:t>
      </w:r>
    </w:p>
    <w:p w14:paraId="0F7C3FFD">
      <w:pPr>
        <w:keepNext w:val="0"/>
        <w:keepLines w:val="0"/>
        <w:pageBreakBefore w:val="0"/>
        <w:widowControl/>
        <w:tabs>
          <w:tab w:val="left" w:pos="2340"/>
          <w:tab w:val="center" w:pos="4932"/>
        </w:tabs>
        <w:wordWrap/>
        <w:topLinePunct w:val="0"/>
        <w:autoSpaceDE/>
        <w:autoSpaceDN/>
        <w:bidi w:val="0"/>
        <w:adjustRightInd/>
        <w:snapToGrid/>
        <w:spacing w:line="500" w:lineRule="exact"/>
        <w:ind w:firstLine="723" w:firstLineChars="300"/>
        <w:textAlignment w:val="auto"/>
        <w:rPr>
          <w:rFonts w:hint="eastAsia" w:ascii="仿宋_GB2312" w:hAnsi="仿宋_GB2312" w:eastAsia="仿宋_GB2312" w:cs="仿宋_GB2312"/>
          <w:bCs/>
          <w:sz w:val="24"/>
          <w:szCs w:val="24"/>
          <w:lang w:eastAsia="zh-CN"/>
        </w:rPr>
      </w:pPr>
      <w:r>
        <w:rPr>
          <w:rFonts w:hint="eastAsia" w:ascii="宋体" w:hAnsi="宋体" w:cs="宋体"/>
          <w:b/>
          <w:bCs/>
          <w:color w:val="000000"/>
          <w:sz w:val="24"/>
          <w:szCs w:val="24"/>
        </w:rPr>
        <w:t xml:space="preserve">发包人                      </w:t>
      </w:r>
      <w:r>
        <w:rPr>
          <w:rFonts w:hint="eastAsia" w:ascii="宋体" w:hAnsi="宋体" w:cs="宋体"/>
          <w:b/>
          <w:bCs/>
          <w:color w:val="000000"/>
          <w:sz w:val="24"/>
          <w:szCs w:val="24"/>
          <w:lang w:val="en-US" w:eastAsia="zh-CN"/>
        </w:rPr>
        <w:t xml:space="preserve">           </w:t>
      </w:r>
      <w:r>
        <w:rPr>
          <w:rFonts w:hint="eastAsia" w:ascii="宋体" w:hAnsi="宋体" w:cs="宋体"/>
          <w:b/>
          <w:bCs/>
          <w:color w:val="000000"/>
          <w:sz w:val="24"/>
          <w:szCs w:val="24"/>
        </w:rPr>
        <w:t>承包人</w:t>
      </w:r>
      <w:r>
        <w:rPr>
          <w:rFonts w:hint="eastAsia" w:ascii="仿宋_GB2312" w:hAnsi="仿宋_GB2312" w:eastAsia="仿宋_GB2312" w:cs="仿宋_GB2312"/>
          <w:bCs/>
          <w:sz w:val="24"/>
          <w:szCs w:val="24"/>
          <w:lang w:val="en-US" w:eastAsia="zh-CN"/>
        </w:rPr>
        <w:t xml:space="preserve">                       </w:t>
      </w:r>
    </w:p>
    <w:p w14:paraId="24EA7DF2">
      <w:pPr>
        <w:keepNext w:val="0"/>
        <w:keepLines w:val="0"/>
        <w:pageBreakBefore w:val="0"/>
        <w:widowControl/>
        <w:kinsoku w:val="0"/>
        <w:wordWrap/>
        <w:overflowPunct w:val="0"/>
        <w:topLinePunct w:val="0"/>
        <w:autoSpaceDE/>
        <w:autoSpaceDN/>
        <w:bidi w:val="0"/>
        <w:adjustRightInd/>
        <w:snapToGrid/>
        <w:spacing w:line="500" w:lineRule="exact"/>
        <w:ind w:left="-400" w:leftChars="-200" w:firstLine="360" w:firstLineChars="15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法定代表人（或委托法定代表人</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法定代表人（或委托法定代表人</w:t>
      </w:r>
    </w:p>
    <w:p w14:paraId="0212B039">
      <w:pPr>
        <w:keepNext w:val="0"/>
        <w:keepLines w:val="0"/>
        <w:pageBreakBefore w:val="0"/>
        <w:widowControl/>
        <w:kinsoku w:val="0"/>
        <w:wordWrap/>
        <w:overflowPunct w:val="0"/>
        <w:topLinePunct w:val="0"/>
        <w:autoSpaceDE/>
        <w:autoSpaceDN/>
        <w:bidi w:val="0"/>
        <w:adjustRightInd/>
        <w:snapToGrid/>
        <w:spacing w:line="500" w:lineRule="exact"/>
        <w:ind w:left="-400" w:leftChars="-200" w:firstLine="360" w:firstLineChars="150"/>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（或委托代理人））：</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（或委托代理人））：</w:t>
      </w:r>
    </w:p>
    <w:p w14:paraId="0833BC63">
      <w:pPr>
        <w:keepNext w:val="0"/>
        <w:keepLines w:val="0"/>
        <w:pageBreakBefore w:val="0"/>
        <w:widowControl/>
        <w:kinsoku w:val="0"/>
        <w:wordWrap/>
        <w:overflowPunct w:val="0"/>
        <w:topLinePunct w:val="0"/>
        <w:autoSpaceDE/>
        <w:autoSpaceDN/>
        <w:bidi w:val="0"/>
        <w:adjustRightInd/>
        <w:snapToGrid/>
        <w:spacing w:line="500" w:lineRule="exact"/>
        <w:ind w:left="-400" w:leftChars="-200" w:firstLine="360" w:firstLineChars="150"/>
        <w:textAlignment w:val="auto"/>
        <w:rPr>
          <w:rFonts w:hint="eastAsia" w:ascii="宋体" w:hAnsi="宋体" w:eastAsia="宋体" w:cs="宋体"/>
          <w:bCs/>
          <w:sz w:val="24"/>
          <w:szCs w:val="24"/>
        </w:rPr>
      </w:pPr>
      <w:r>
        <w:rPr>
          <w:rFonts w:hint="eastAsia" w:ascii="宋体" w:hAnsi="宋体" w:eastAsia="宋体" w:cs="宋体"/>
          <w:bCs/>
          <w:sz w:val="24"/>
          <w:szCs w:val="24"/>
        </w:rPr>
        <w:t>经办人：</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经办人：</w:t>
      </w:r>
    </w:p>
    <w:p w14:paraId="40CA8018">
      <w:pPr>
        <w:keepNext w:val="0"/>
        <w:keepLines w:val="0"/>
        <w:pageBreakBefore w:val="0"/>
        <w:widowControl/>
        <w:kinsoku w:val="0"/>
        <w:wordWrap/>
        <w:overflowPunct w:val="0"/>
        <w:topLinePunct w:val="0"/>
        <w:autoSpaceDE/>
        <w:autoSpaceDN/>
        <w:bidi w:val="0"/>
        <w:adjustRightInd/>
        <w:snapToGrid/>
        <w:spacing w:line="500" w:lineRule="exact"/>
        <w:ind w:left="-400" w:leftChars="-200" w:firstLine="360" w:firstLineChars="150"/>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开户银行：</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开户银行：</w:t>
      </w:r>
    </w:p>
    <w:p w14:paraId="498E7547">
      <w:pPr>
        <w:keepNext w:val="0"/>
        <w:keepLines w:val="0"/>
        <w:pageBreakBefore w:val="0"/>
        <w:widowControl/>
        <w:kinsoku w:val="0"/>
        <w:wordWrap/>
        <w:overflowPunct w:val="0"/>
        <w:topLinePunct w:val="0"/>
        <w:autoSpaceDE/>
        <w:autoSpaceDN/>
        <w:bidi w:val="0"/>
        <w:adjustRightInd/>
        <w:snapToGrid/>
        <w:spacing w:line="500" w:lineRule="exact"/>
        <w:textAlignment w:val="auto"/>
        <w:rPr>
          <w:rFonts w:hint="eastAsia" w:ascii="宋体" w:hAnsi="宋体" w:eastAsia="宋体" w:cs="宋体"/>
          <w:bCs/>
          <w:sz w:val="24"/>
          <w:szCs w:val="24"/>
        </w:rPr>
      </w:pPr>
      <w:r>
        <w:rPr>
          <w:rFonts w:hint="eastAsia" w:ascii="宋体" w:hAnsi="宋体" w:eastAsia="宋体" w:cs="宋体"/>
          <w:bCs/>
          <w:sz w:val="24"/>
          <w:szCs w:val="24"/>
        </w:rPr>
        <w:t>账号：</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账号：</w:t>
      </w:r>
    </w:p>
    <w:p w14:paraId="7430BB36">
      <w:pPr>
        <w:keepNext w:val="0"/>
        <w:keepLines w:val="0"/>
        <w:pageBreakBefore w:val="0"/>
        <w:widowControl/>
        <w:wordWrap/>
        <w:topLinePunct w:val="0"/>
        <w:autoSpaceDE/>
        <w:autoSpaceDN/>
        <w:bidi w:val="0"/>
        <w:adjustRightInd/>
        <w:snapToGrid/>
        <w:spacing w:line="560" w:lineRule="exact"/>
        <w:jc w:val="left"/>
        <w:textAlignment w:val="auto"/>
        <w:rPr>
          <w:rFonts w:hint="eastAsia" w:ascii="宋体" w:hAnsi="宋体" w:cs="宋体"/>
          <w:b w:val="0"/>
          <w:bCs/>
          <w:sz w:val="28"/>
          <w:szCs w:val="28"/>
          <w:lang w:eastAsia="zh-CN"/>
        </w:rPr>
        <w:sectPr>
          <w:footerReference r:id="rId6" w:type="default"/>
          <w:pgSz w:w="11906" w:h="16838"/>
          <w:pgMar w:top="1440" w:right="1417" w:bottom="1440" w:left="1417" w:header="851" w:footer="992" w:gutter="0"/>
          <w:pgNumType w:fmt="decimal" w:start="1"/>
          <w:cols w:space="425" w:num="1"/>
          <w:docGrid w:type="lines" w:linePitch="312" w:charSpace="0"/>
        </w:sectPr>
      </w:pPr>
    </w:p>
    <w:p w14:paraId="7A112BF9">
      <w:pPr>
        <w:jc w:val="left"/>
        <w:rPr>
          <w:rFonts w:hint="eastAsia" w:ascii="黑体" w:hAnsi="黑体" w:eastAsia="黑体" w:cs="黑体"/>
          <w:b/>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3：</w:t>
      </w:r>
    </w:p>
    <w:p w14:paraId="00845EDB">
      <w:pPr>
        <w:jc w:val="center"/>
        <w:rPr>
          <w:rFonts w:hint="eastAsia" w:ascii="仿宋" w:hAnsi="仿宋" w:eastAsia="宋体"/>
          <w:sz w:val="32"/>
          <w:szCs w:val="32"/>
          <w:lang w:val="en-US" w:eastAsia="zh-CN"/>
        </w:rPr>
      </w:pPr>
      <w:r>
        <w:rPr>
          <w:rFonts w:hint="eastAsia" w:ascii="宋体" w:hAnsi="宋体" w:cs="宋体"/>
          <w:b/>
          <w:sz w:val="44"/>
          <w:szCs w:val="44"/>
        </w:rPr>
        <w:t>金平昆钢金河有限责任公</w:t>
      </w:r>
      <w:r>
        <w:rPr>
          <w:rFonts w:hint="eastAsia" w:ascii="宋体" w:hAnsi="宋体" w:cs="宋体"/>
          <w:b/>
          <w:sz w:val="44"/>
          <w:szCs w:val="44"/>
          <w:lang w:eastAsia="zh-CN"/>
        </w:rPr>
        <w:t>司马鞍山1#排土场砌筑790m-830m左岸截洪沟、沉砂池及涵管埋设安全措施工程</w:t>
      </w:r>
      <w:r>
        <w:rPr>
          <w:rFonts w:hint="eastAsia" w:ascii="宋体" w:hAnsi="宋体" w:cs="宋体"/>
          <w:b/>
          <w:sz w:val="44"/>
          <w:szCs w:val="44"/>
        </w:rPr>
        <w:t>报价</w:t>
      </w:r>
      <w:r>
        <w:rPr>
          <w:rFonts w:hint="eastAsia" w:ascii="宋体" w:hAnsi="宋体" w:cs="宋体"/>
          <w:b/>
          <w:sz w:val="44"/>
          <w:szCs w:val="44"/>
          <w:lang w:val="en-US" w:eastAsia="zh-CN"/>
        </w:rPr>
        <w:t>表</w:t>
      </w:r>
    </w:p>
    <w:p w14:paraId="663F4C34">
      <w:pPr>
        <w:spacing w:line="560" w:lineRule="exact"/>
        <w:rPr>
          <w:rFonts w:ascii="仿宋" w:hAnsi="仿宋" w:eastAsia="仿宋"/>
          <w:sz w:val="32"/>
          <w:szCs w:val="32"/>
        </w:rPr>
      </w:pPr>
      <w:r>
        <w:rPr>
          <w:rFonts w:hint="eastAsia" w:ascii="仿宋" w:hAnsi="仿宋" w:eastAsia="仿宋"/>
          <w:sz w:val="32"/>
          <w:szCs w:val="32"/>
        </w:rPr>
        <w:t>金平昆钢金河有限责任公司：</w:t>
      </w:r>
    </w:p>
    <w:p w14:paraId="069F2C8B">
      <w:pPr>
        <w:spacing w:line="560" w:lineRule="exact"/>
        <w:rPr>
          <w:rFonts w:ascii="仿宋" w:hAnsi="仿宋" w:eastAsia="仿宋"/>
          <w:sz w:val="32"/>
          <w:szCs w:val="32"/>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rPr>
        <w:t>贵单位询价</w:t>
      </w:r>
      <w:r>
        <w:rPr>
          <w:rFonts w:hint="eastAsia" w:ascii="仿宋" w:hAnsi="仿宋" w:eastAsia="仿宋"/>
          <w:sz w:val="32"/>
          <w:szCs w:val="32"/>
          <w:lang w:val="en-US" w:eastAsia="zh-CN"/>
        </w:rPr>
        <w:t>文件</w:t>
      </w:r>
      <w:r>
        <w:rPr>
          <w:rFonts w:hint="eastAsia" w:ascii="仿宋" w:hAnsi="仿宋" w:eastAsia="仿宋"/>
          <w:sz w:val="32"/>
          <w:szCs w:val="32"/>
        </w:rPr>
        <w:t>已</w:t>
      </w:r>
      <w:r>
        <w:rPr>
          <w:rFonts w:hint="eastAsia" w:ascii="仿宋" w:hAnsi="仿宋" w:eastAsia="仿宋"/>
          <w:sz w:val="32"/>
          <w:szCs w:val="32"/>
          <w:lang w:val="en-US" w:eastAsia="zh-CN"/>
        </w:rPr>
        <w:t>知</w:t>
      </w:r>
      <w:r>
        <w:rPr>
          <w:rFonts w:hint="eastAsia" w:ascii="仿宋" w:hAnsi="仿宋" w:eastAsia="仿宋"/>
          <w:sz w:val="32"/>
          <w:szCs w:val="32"/>
        </w:rPr>
        <w:t>悉，经我单位研究，报价如下：</w:t>
      </w:r>
    </w:p>
    <w:tbl>
      <w:tblPr>
        <w:tblStyle w:val="11"/>
        <w:tblW w:w="14629" w:type="dxa"/>
        <w:jc w:val="center"/>
        <w:tblLayout w:type="fixed"/>
        <w:tblCellMar>
          <w:top w:w="0" w:type="dxa"/>
          <w:left w:w="108" w:type="dxa"/>
          <w:bottom w:w="0" w:type="dxa"/>
          <w:right w:w="108" w:type="dxa"/>
        </w:tblCellMar>
      </w:tblPr>
      <w:tblGrid>
        <w:gridCol w:w="796"/>
        <w:gridCol w:w="2357"/>
        <w:gridCol w:w="6176"/>
        <w:gridCol w:w="775"/>
        <w:gridCol w:w="962"/>
        <w:gridCol w:w="1538"/>
        <w:gridCol w:w="1241"/>
        <w:gridCol w:w="784"/>
      </w:tblGrid>
      <w:tr w14:paraId="3DE5E556">
        <w:tblPrEx>
          <w:tblCellMar>
            <w:top w:w="0" w:type="dxa"/>
            <w:left w:w="108" w:type="dxa"/>
            <w:bottom w:w="0" w:type="dxa"/>
            <w:right w:w="108" w:type="dxa"/>
          </w:tblCellMar>
        </w:tblPrEx>
        <w:trPr>
          <w:trHeight w:val="971"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D9785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序号</w:t>
            </w:r>
          </w:p>
        </w:tc>
        <w:tc>
          <w:tcPr>
            <w:tcW w:w="235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0185332">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rPr>
              <w:t>项目</w:t>
            </w:r>
            <w:r>
              <w:rPr>
                <w:rFonts w:hint="eastAsia" w:ascii="宋体" w:hAnsi="宋体" w:cs="宋体"/>
                <w:color w:val="000000"/>
                <w:kern w:val="0"/>
                <w:sz w:val="24"/>
                <w:szCs w:val="24"/>
                <w:lang w:val="en-US" w:eastAsia="zh-CN"/>
              </w:rPr>
              <w:t>内容</w:t>
            </w:r>
          </w:p>
        </w:tc>
        <w:tc>
          <w:tcPr>
            <w:tcW w:w="61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34EEB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项目特征</w:t>
            </w:r>
          </w:p>
        </w:tc>
        <w:tc>
          <w:tcPr>
            <w:tcW w:w="7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646ED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color w:val="000000"/>
                <w:kern w:val="0"/>
                <w:sz w:val="24"/>
                <w:szCs w:val="24"/>
                <w:lang w:eastAsia="zh-CN"/>
              </w:rPr>
            </w:pPr>
            <w:r>
              <w:rPr>
                <w:rFonts w:hint="eastAsia" w:ascii="宋体" w:hAnsi="宋体" w:cs="宋体"/>
                <w:color w:val="000000"/>
                <w:kern w:val="0"/>
                <w:sz w:val="24"/>
                <w:szCs w:val="24"/>
              </w:rPr>
              <w:t>计量</w:t>
            </w:r>
            <w:r>
              <w:rPr>
                <w:rFonts w:hint="eastAsia" w:ascii="宋体" w:hAnsi="宋体" w:cs="宋体"/>
                <w:color w:val="000000"/>
                <w:kern w:val="0"/>
                <w:sz w:val="24"/>
                <w:szCs w:val="24"/>
              </w:rPr>
              <w:br w:type="textWrapping"/>
            </w:r>
            <w:r>
              <w:rPr>
                <w:rFonts w:hint="eastAsia" w:ascii="宋体" w:hAnsi="宋体" w:cs="宋体"/>
                <w:color w:val="000000"/>
                <w:kern w:val="0"/>
                <w:sz w:val="24"/>
                <w:szCs w:val="24"/>
              </w:rPr>
              <w:t>单位</w:t>
            </w:r>
          </w:p>
        </w:tc>
        <w:tc>
          <w:tcPr>
            <w:tcW w:w="96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EF7B54">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工程量</w:t>
            </w:r>
          </w:p>
        </w:tc>
        <w:tc>
          <w:tcPr>
            <w:tcW w:w="153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852252">
            <w:pPr>
              <w:keepNext w:val="0"/>
              <w:keepLines w:val="0"/>
              <w:pageBreakBefore w:val="0"/>
              <w:widowControl/>
              <w:kinsoku/>
              <w:wordWrap/>
              <w:overflowPunct/>
              <w:topLinePunct w:val="0"/>
              <w:autoSpaceDE/>
              <w:autoSpaceDN/>
              <w:bidi w:val="0"/>
              <w:adjustRightInd/>
              <w:snapToGrid/>
              <w:spacing w:line="280" w:lineRule="exact"/>
              <w:jc w:val="left"/>
              <w:textAlignment w:val="auto"/>
              <w:rPr>
                <w:b w:val="0"/>
                <w:bCs/>
                <w:sz w:val="24"/>
                <w:szCs w:val="24"/>
              </w:rPr>
            </w:pPr>
            <w:r>
              <w:rPr>
                <w:rFonts w:hint="eastAsia" w:ascii="宋体" w:hAnsi="宋体" w:cs="宋体"/>
                <w:color w:val="000000"/>
                <w:kern w:val="0"/>
                <w:sz w:val="24"/>
                <w:szCs w:val="24"/>
                <w:lang w:val="en-US" w:eastAsia="zh-CN"/>
              </w:rPr>
              <w:t>含税单价</w:t>
            </w:r>
            <w:r>
              <w:rPr>
                <w:rFonts w:hint="eastAsia" w:ascii="宋体" w:hAnsi="宋体" w:cs="宋体"/>
                <w:color w:val="000000"/>
                <w:kern w:val="0"/>
                <w:sz w:val="24"/>
                <w:szCs w:val="24"/>
                <w:lang w:eastAsia="zh-CN"/>
              </w:rPr>
              <w:t>（9%增值税）</w:t>
            </w:r>
          </w:p>
        </w:tc>
        <w:tc>
          <w:tcPr>
            <w:tcW w:w="124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133D67">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含税</w:t>
            </w:r>
          </w:p>
          <w:p w14:paraId="07F210AE">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eastAsia="宋体" w:cs="宋体"/>
                <w:b w:val="0"/>
                <w:bCs/>
                <w:color w:val="000000"/>
                <w:kern w:val="0"/>
                <w:sz w:val="24"/>
                <w:szCs w:val="24"/>
                <w:lang w:val="en-US" w:eastAsia="zh-CN"/>
              </w:rPr>
            </w:pPr>
            <w:r>
              <w:rPr>
                <w:rFonts w:hint="eastAsia" w:ascii="宋体" w:hAnsi="宋体" w:cs="宋体"/>
                <w:b w:val="0"/>
                <w:bCs/>
                <w:color w:val="000000"/>
                <w:kern w:val="0"/>
                <w:sz w:val="24"/>
                <w:szCs w:val="24"/>
                <w:lang w:val="en-US" w:eastAsia="zh-CN"/>
              </w:rPr>
              <w:t>小计</w:t>
            </w:r>
          </w:p>
        </w:tc>
        <w:tc>
          <w:tcPr>
            <w:tcW w:w="7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811808">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eastAsia" w:ascii="宋体" w:hAnsi="宋体" w:cs="宋体"/>
                <w:b w:val="0"/>
                <w:bCs/>
                <w:color w:val="000000"/>
                <w:kern w:val="0"/>
                <w:sz w:val="24"/>
                <w:szCs w:val="24"/>
                <w:lang w:eastAsia="zh-CN"/>
              </w:rPr>
            </w:pPr>
            <w:r>
              <w:rPr>
                <w:rFonts w:hint="eastAsia" w:ascii="宋体" w:hAnsi="宋体" w:cs="宋体"/>
                <w:b w:val="0"/>
                <w:bCs/>
                <w:color w:val="000000"/>
                <w:kern w:val="0"/>
                <w:sz w:val="24"/>
                <w:szCs w:val="24"/>
                <w:lang w:eastAsia="zh-CN"/>
              </w:rPr>
              <w:t>备注</w:t>
            </w:r>
          </w:p>
        </w:tc>
      </w:tr>
      <w:tr w14:paraId="4E470A77">
        <w:tblPrEx>
          <w:tblCellMar>
            <w:top w:w="0" w:type="dxa"/>
            <w:left w:w="108" w:type="dxa"/>
            <w:bottom w:w="0" w:type="dxa"/>
            <w:right w:w="108" w:type="dxa"/>
          </w:tblCellMar>
        </w:tblPrEx>
        <w:trPr>
          <w:trHeight w:val="523" w:hRule="atLeast"/>
          <w:jc w:val="center"/>
        </w:trPr>
        <w:tc>
          <w:tcPr>
            <w:tcW w:w="14629" w:type="dxa"/>
            <w:gridSpan w:val="8"/>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F6417C">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cs="宋体"/>
                <w:b w:val="0"/>
                <w:bCs/>
                <w:color w:val="000000"/>
                <w:kern w:val="0"/>
                <w:sz w:val="24"/>
                <w:szCs w:val="24"/>
                <w:lang w:eastAsia="zh-CN"/>
              </w:rPr>
            </w:pPr>
            <w:r>
              <w:rPr>
                <w:rFonts w:hint="eastAsia" w:ascii="宋体" w:hAnsi="宋体" w:cs="宋体"/>
                <w:b w:val="0"/>
                <w:bCs/>
                <w:color w:val="000000"/>
                <w:kern w:val="0"/>
                <w:sz w:val="24"/>
                <w:szCs w:val="24"/>
                <w:lang w:eastAsia="zh-CN"/>
              </w:rPr>
              <w:t>一、马鞍山1#排土场790m-830m截洪沟</w:t>
            </w:r>
          </w:p>
        </w:tc>
      </w:tr>
      <w:tr w14:paraId="6F705606">
        <w:tblPrEx>
          <w:tblCellMar>
            <w:top w:w="0" w:type="dxa"/>
            <w:left w:w="108" w:type="dxa"/>
            <w:bottom w:w="0" w:type="dxa"/>
            <w:right w:w="108" w:type="dxa"/>
          </w:tblCellMar>
        </w:tblPrEx>
        <w:trPr>
          <w:trHeight w:val="1735" w:hRule="atLeast"/>
          <w:jc w:val="center"/>
        </w:trPr>
        <w:tc>
          <w:tcPr>
            <w:tcW w:w="796" w:type="dxa"/>
            <w:tcBorders>
              <w:top w:val="nil"/>
              <w:left w:val="single" w:color="auto" w:sz="4" w:space="0"/>
              <w:bottom w:val="single" w:color="auto" w:sz="4" w:space="0"/>
              <w:right w:val="single" w:color="auto" w:sz="4" w:space="0"/>
            </w:tcBorders>
            <w:shd w:val="clear" w:color="auto" w:fill="FFFFFF"/>
            <w:noWrap w:val="0"/>
            <w:vAlign w:val="center"/>
          </w:tcPr>
          <w:p w14:paraId="48F8A86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ascii="宋体" w:hAnsi="宋体" w:cs="宋体"/>
                <w:color w:val="000000"/>
                <w:kern w:val="0"/>
                <w:sz w:val="24"/>
                <w:szCs w:val="24"/>
              </w:rPr>
            </w:pPr>
            <w:r>
              <w:rPr>
                <w:rFonts w:hint="eastAsia" w:ascii="宋体" w:hAnsi="宋体" w:cs="宋体"/>
                <w:color w:val="000000"/>
                <w:kern w:val="0"/>
                <w:sz w:val="24"/>
                <w:szCs w:val="24"/>
              </w:rPr>
              <w:t>1</w:t>
            </w:r>
          </w:p>
        </w:tc>
        <w:tc>
          <w:tcPr>
            <w:tcW w:w="2357" w:type="dxa"/>
            <w:tcBorders>
              <w:top w:val="nil"/>
              <w:left w:val="nil"/>
              <w:bottom w:val="single" w:color="auto" w:sz="4" w:space="0"/>
              <w:right w:val="single" w:color="auto" w:sz="4" w:space="0"/>
            </w:tcBorders>
            <w:shd w:val="clear" w:color="auto" w:fill="FFFFFF"/>
            <w:noWrap w:val="0"/>
            <w:vAlign w:val="center"/>
          </w:tcPr>
          <w:p w14:paraId="7762B2C4">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土方开挖（含清基）</w:t>
            </w:r>
          </w:p>
        </w:tc>
        <w:tc>
          <w:tcPr>
            <w:tcW w:w="6176" w:type="dxa"/>
            <w:tcBorders>
              <w:top w:val="nil"/>
              <w:left w:val="nil"/>
              <w:bottom w:val="single" w:color="auto" w:sz="4" w:space="0"/>
              <w:right w:val="single" w:color="auto" w:sz="4" w:space="0"/>
            </w:tcBorders>
            <w:shd w:val="clear" w:color="auto" w:fill="FFFFFF"/>
            <w:noWrap w:val="0"/>
            <w:vAlign w:val="center"/>
          </w:tcPr>
          <w:p w14:paraId="36587540">
            <w:pPr>
              <w:keepNext w:val="0"/>
              <w:keepLines w:val="0"/>
              <w:pageBreakBefore w:val="0"/>
              <w:widowControl/>
              <w:numPr>
                <w:ilvl w:val="0"/>
                <w:numId w:val="22"/>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2D8C54CE">
            <w:pPr>
              <w:keepNext w:val="0"/>
              <w:keepLines w:val="0"/>
              <w:pageBreakBefore w:val="0"/>
              <w:widowControl/>
              <w:numPr>
                <w:ilvl w:val="0"/>
                <w:numId w:val="22"/>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深度：1.5米，长度：170</w:t>
            </w:r>
            <w:r>
              <w:rPr>
                <w:rFonts w:hint="eastAsia" w:ascii="宋体" w:hAnsi="宋体" w:eastAsia="宋体" w:cs="Times New Roman"/>
                <w:sz w:val="24"/>
                <w:szCs w:val="24"/>
                <w:highlight w:val="none"/>
                <w:lang w:val="en-US" w:eastAsia="zh-CN"/>
              </w:rPr>
              <w:t>米</w:t>
            </w:r>
            <w:r>
              <w:rPr>
                <w:rFonts w:hint="eastAsia" w:ascii="宋体" w:hAnsi="宋体" w:eastAsia="宋体" w:cs="Times New Roman"/>
                <w:sz w:val="24"/>
                <w:szCs w:val="24"/>
                <w:lang w:val="en-US" w:eastAsia="zh-CN"/>
              </w:rPr>
              <w:t>，宽1.6米；</w:t>
            </w:r>
          </w:p>
          <w:p w14:paraId="0FE4596D">
            <w:pPr>
              <w:keepNext w:val="0"/>
              <w:keepLines w:val="0"/>
              <w:pageBreakBefore w:val="0"/>
              <w:widowControl/>
              <w:numPr>
                <w:ilvl w:val="0"/>
                <w:numId w:val="22"/>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46DA90C6">
            <w:pPr>
              <w:keepNext w:val="0"/>
              <w:keepLines w:val="0"/>
              <w:pageBreakBefore w:val="0"/>
              <w:widowControl/>
              <w:numPr>
                <w:ilvl w:val="0"/>
                <w:numId w:val="22"/>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nil"/>
              <w:left w:val="nil"/>
              <w:bottom w:val="single" w:color="auto" w:sz="4" w:space="0"/>
              <w:right w:val="single" w:color="auto" w:sz="4" w:space="0"/>
            </w:tcBorders>
            <w:shd w:val="clear" w:color="auto" w:fill="FFFFFF"/>
            <w:noWrap w:val="0"/>
            <w:vAlign w:val="center"/>
          </w:tcPr>
          <w:p w14:paraId="765D0202">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962" w:type="dxa"/>
            <w:tcBorders>
              <w:top w:val="nil"/>
              <w:left w:val="nil"/>
              <w:bottom w:val="single" w:color="auto" w:sz="4" w:space="0"/>
              <w:right w:val="single" w:color="auto" w:sz="4" w:space="0"/>
            </w:tcBorders>
            <w:shd w:val="clear" w:color="auto" w:fill="FFFFFF"/>
            <w:noWrap w:val="0"/>
            <w:vAlign w:val="center"/>
          </w:tcPr>
          <w:p w14:paraId="2E9A4CC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408</w:t>
            </w:r>
          </w:p>
        </w:tc>
        <w:tc>
          <w:tcPr>
            <w:tcW w:w="1538" w:type="dxa"/>
            <w:tcBorders>
              <w:top w:val="nil"/>
              <w:left w:val="nil"/>
              <w:bottom w:val="single" w:color="auto" w:sz="4" w:space="0"/>
              <w:right w:val="single" w:color="auto" w:sz="4" w:space="0"/>
            </w:tcBorders>
            <w:shd w:val="clear" w:color="auto" w:fill="FFFFFF"/>
            <w:noWrap w:val="0"/>
            <w:vAlign w:val="center"/>
          </w:tcPr>
          <w:p w14:paraId="2865515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p>
        </w:tc>
        <w:tc>
          <w:tcPr>
            <w:tcW w:w="1241" w:type="dxa"/>
            <w:tcBorders>
              <w:top w:val="nil"/>
              <w:left w:val="nil"/>
              <w:bottom w:val="single" w:color="auto" w:sz="4" w:space="0"/>
              <w:right w:val="single" w:color="auto" w:sz="4" w:space="0"/>
            </w:tcBorders>
            <w:shd w:val="clear" w:color="auto" w:fill="FFFFFF"/>
            <w:noWrap w:val="0"/>
            <w:vAlign w:val="center"/>
          </w:tcPr>
          <w:p w14:paraId="60E5D64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nil"/>
              <w:left w:val="nil"/>
              <w:bottom w:val="single" w:color="auto" w:sz="4" w:space="0"/>
              <w:right w:val="single" w:color="auto" w:sz="4" w:space="0"/>
            </w:tcBorders>
            <w:shd w:val="clear" w:color="auto" w:fill="FFFFFF"/>
            <w:noWrap w:val="0"/>
            <w:vAlign w:val="center"/>
          </w:tcPr>
          <w:p w14:paraId="437A009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5F0AE3AF">
        <w:tblPrEx>
          <w:tblCellMar>
            <w:top w:w="0" w:type="dxa"/>
            <w:left w:w="108" w:type="dxa"/>
            <w:bottom w:w="0" w:type="dxa"/>
            <w:right w:w="108" w:type="dxa"/>
          </w:tblCellMar>
        </w:tblPrEx>
        <w:trPr>
          <w:trHeight w:val="2590" w:hRule="atLeast"/>
          <w:jc w:val="center"/>
        </w:trPr>
        <w:tc>
          <w:tcPr>
            <w:tcW w:w="796" w:type="dxa"/>
            <w:tcBorders>
              <w:top w:val="nil"/>
              <w:left w:val="single" w:color="auto" w:sz="4" w:space="0"/>
              <w:bottom w:val="single" w:color="auto" w:sz="4" w:space="0"/>
              <w:right w:val="single" w:color="auto" w:sz="4" w:space="0"/>
            </w:tcBorders>
            <w:shd w:val="clear" w:color="auto" w:fill="FFFFFF"/>
            <w:noWrap w:val="0"/>
            <w:vAlign w:val="center"/>
          </w:tcPr>
          <w:p w14:paraId="2BD2F75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2357" w:type="dxa"/>
            <w:tcBorders>
              <w:top w:val="nil"/>
              <w:left w:val="nil"/>
              <w:bottom w:val="single" w:color="auto" w:sz="4" w:space="0"/>
              <w:right w:val="single" w:color="auto" w:sz="4" w:space="0"/>
            </w:tcBorders>
            <w:shd w:val="clear" w:color="auto" w:fill="FFFFFF"/>
            <w:noWrap w:val="0"/>
            <w:vAlign w:val="center"/>
          </w:tcPr>
          <w:p w14:paraId="75F80FD3">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砌筑毛石截洪沟</w:t>
            </w:r>
          </w:p>
        </w:tc>
        <w:tc>
          <w:tcPr>
            <w:tcW w:w="6176" w:type="dxa"/>
            <w:tcBorders>
              <w:top w:val="nil"/>
              <w:left w:val="nil"/>
              <w:bottom w:val="single" w:color="auto" w:sz="4" w:space="0"/>
              <w:right w:val="single" w:color="auto" w:sz="4" w:space="0"/>
            </w:tcBorders>
            <w:shd w:val="clear" w:color="auto" w:fill="FFFFFF"/>
            <w:noWrap w:val="0"/>
            <w:vAlign w:val="center"/>
          </w:tcPr>
          <w:p w14:paraId="19D67E20">
            <w:pPr>
              <w:keepNext w:val="0"/>
              <w:keepLines w:val="0"/>
              <w:pageBreakBefore w:val="0"/>
              <w:widowControl/>
              <w:numPr>
                <w:ilvl w:val="0"/>
                <w:numId w:val="23"/>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砂浆强度等级:水泥砂浆M7.5；</w:t>
            </w:r>
          </w:p>
          <w:p w14:paraId="05DCE162">
            <w:pPr>
              <w:keepNext w:val="0"/>
              <w:keepLines w:val="0"/>
              <w:pageBreakBefore w:val="0"/>
              <w:widowControl/>
              <w:numPr>
                <w:ilvl w:val="0"/>
                <w:numId w:val="23"/>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石料材质：石料应采用质地坚硬、不易风化的材料，且无裂纹；</w:t>
            </w:r>
          </w:p>
          <w:p w14:paraId="379DE668">
            <w:pPr>
              <w:keepNext w:val="0"/>
              <w:keepLines w:val="0"/>
              <w:pageBreakBefore w:val="0"/>
              <w:widowControl/>
              <w:numPr>
                <w:ilvl w:val="0"/>
                <w:numId w:val="23"/>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排水设计：坡度与排土场坡度一致；</w:t>
            </w:r>
          </w:p>
          <w:p w14:paraId="2BF167E3">
            <w:pPr>
              <w:keepNext w:val="0"/>
              <w:keepLines w:val="0"/>
              <w:pageBreakBefore w:val="0"/>
              <w:widowControl/>
              <w:numPr>
                <w:ilvl w:val="0"/>
                <w:numId w:val="23"/>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截洪沟两侧回填；</w:t>
            </w:r>
          </w:p>
          <w:p w14:paraId="5A194A2E">
            <w:pPr>
              <w:keepNext w:val="0"/>
              <w:keepLines w:val="0"/>
              <w:pageBreakBefore w:val="0"/>
              <w:widowControl/>
              <w:numPr>
                <w:ilvl w:val="0"/>
                <w:numId w:val="23"/>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含运输、砌筑、二次搬运等一切工作内容；</w:t>
            </w:r>
          </w:p>
          <w:p w14:paraId="219E3CB9">
            <w:pPr>
              <w:keepNext w:val="0"/>
              <w:keepLines w:val="0"/>
              <w:pageBreakBefore w:val="0"/>
              <w:widowControl/>
              <w:numPr>
                <w:ilvl w:val="0"/>
                <w:numId w:val="23"/>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nil"/>
              <w:left w:val="nil"/>
              <w:bottom w:val="single" w:color="auto" w:sz="4" w:space="0"/>
              <w:right w:val="single" w:color="auto" w:sz="4" w:space="0"/>
            </w:tcBorders>
            <w:shd w:val="clear" w:color="auto" w:fill="FFFFFF"/>
            <w:noWrap w:val="0"/>
            <w:vAlign w:val="center"/>
          </w:tcPr>
          <w:p w14:paraId="62B610C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962" w:type="dxa"/>
            <w:tcBorders>
              <w:top w:val="nil"/>
              <w:left w:val="nil"/>
              <w:bottom w:val="single" w:color="auto" w:sz="4" w:space="0"/>
              <w:right w:val="single" w:color="auto" w:sz="4" w:space="0"/>
            </w:tcBorders>
            <w:shd w:val="clear" w:color="auto" w:fill="FFFFFF"/>
            <w:noWrap w:val="0"/>
            <w:vAlign w:val="center"/>
          </w:tcPr>
          <w:p w14:paraId="729200D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217.6</w:t>
            </w:r>
          </w:p>
        </w:tc>
        <w:tc>
          <w:tcPr>
            <w:tcW w:w="1538" w:type="dxa"/>
            <w:tcBorders>
              <w:top w:val="nil"/>
              <w:left w:val="nil"/>
              <w:bottom w:val="single" w:color="auto" w:sz="4" w:space="0"/>
              <w:right w:val="single" w:color="auto" w:sz="4" w:space="0"/>
            </w:tcBorders>
            <w:shd w:val="clear" w:color="auto" w:fill="FFFFFF"/>
            <w:noWrap w:val="0"/>
            <w:vAlign w:val="center"/>
          </w:tcPr>
          <w:p w14:paraId="37F759A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p>
        </w:tc>
        <w:tc>
          <w:tcPr>
            <w:tcW w:w="1241" w:type="dxa"/>
            <w:tcBorders>
              <w:top w:val="nil"/>
              <w:left w:val="nil"/>
              <w:bottom w:val="single" w:color="auto" w:sz="4" w:space="0"/>
              <w:right w:val="single" w:color="auto" w:sz="4" w:space="0"/>
            </w:tcBorders>
            <w:shd w:val="clear" w:color="auto" w:fill="FFFFFF"/>
            <w:noWrap w:val="0"/>
            <w:vAlign w:val="center"/>
          </w:tcPr>
          <w:p w14:paraId="0760A15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nil"/>
              <w:left w:val="nil"/>
              <w:bottom w:val="single" w:color="auto" w:sz="4" w:space="0"/>
              <w:right w:val="single" w:color="auto" w:sz="4" w:space="0"/>
            </w:tcBorders>
            <w:shd w:val="clear" w:color="auto" w:fill="FFFFFF"/>
            <w:noWrap w:val="0"/>
            <w:vAlign w:val="center"/>
          </w:tcPr>
          <w:p w14:paraId="28832372">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5C9E66D0">
        <w:tblPrEx>
          <w:tblCellMar>
            <w:top w:w="0" w:type="dxa"/>
            <w:left w:w="108" w:type="dxa"/>
            <w:bottom w:w="0" w:type="dxa"/>
            <w:right w:w="108" w:type="dxa"/>
          </w:tblCellMar>
        </w:tblPrEx>
        <w:trPr>
          <w:trHeight w:val="1124"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10213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235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ECB0E8">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lang w:val="en-US" w:eastAsia="zh-CN"/>
              </w:rPr>
              <w:t>抹灰</w:t>
            </w:r>
          </w:p>
        </w:tc>
        <w:tc>
          <w:tcPr>
            <w:tcW w:w="61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86D5A8">
            <w:pPr>
              <w:keepNext w:val="0"/>
              <w:keepLines w:val="0"/>
              <w:pageBreakBefore w:val="0"/>
              <w:widowControl/>
              <w:numPr>
                <w:ilvl w:val="0"/>
                <w:numId w:val="24"/>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位置:沟底、沟壁、沟顶；</w:t>
            </w:r>
          </w:p>
          <w:p w14:paraId="64497F4C">
            <w:pPr>
              <w:keepNext w:val="0"/>
              <w:keepLines w:val="0"/>
              <w:pageBreakBefore w:val="0"/>
              <w:widowControl/>
              <w:numPr>
                <w:ilvl w:val="0"/>
                <w:numId w:val="24"/>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砂浆强度等级：M7.5水泥砂浆；</w:t>
            </w:r>
          </w:p>
          <w:p w14:paraId="5104659F">
            <w:pPr>
              <w:keepNext w:val="0"/>
              <w:keepLines w:val="0"/>
              <w:pageBreakBefore w:val="0"/>
              <w:widowControl/>
              <w:numPr>
                <w:ilvl w:val="0"/>
                <w:numId w:val="24"/>
              </w:numPr>
              <w:kinsoku/>
              <w:wordWrap/>
              <w:overflowPunct/>
              <w:topLinePunct w:val="0"/>
              <w:autoSpaceDE/>
              <w:autoSpaceDN/>
              <w:bidi w:val="0"/>
              <w:adjustRightInd/>
              <w:snapToGrid/>
              <w:spacing w:line="340" w:lineRule="exac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0498B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cs="宋体"/>
                <w:color w:val="000000"/>
                <w:kern w:val="0"/>
                <w:sz w:val="24"/>
                <w:szCs w:val="24"/>
                <w:lang w:val="en-US" w:eastAsia="zh-CN" w:bidi="ar-SA"/>
              </w:rPr>
            </w:pPr>
            <w:r>
              <w:rPr>
                <w:rFonts w:hint="eastAsia" w:ascii="宋体" w:hAnsi="宋体" w:cs="宋体"/>
                <w:color w:val="000000"/>
                <w:kern w:val="0"/>
                <w:sz w:val="24"/>
                <w:szCs w:val="24"/>
              </w:rPr>
              <w:t>㎡</w:t>
            </w:r>
          </w:p>
        </w:tc>
        <w:tc>
          <w:tcPr>
            <w:tcW w:w="96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9C603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544</w:t>
            </w:r>
          </w:p>
        </w:tc>
        <w:tc>
          <w:tcPr>
            <w:tcW w:w="153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2BAD0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p>
        </w:tc>
        <w:tc>
          <w:tcPr>
            <w:tcW w:w="124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D23517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43FF7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571B4DF6">
        <w:tblPrEx>
          <w:tblCellMar>
            <w:top w:w="0" w:type="dxa"/>
            <w:left w:w="108" w:type="dxa"/>
            <w:bottom w:w="0" w:type="dxa"/>
            <w:right w:w="108" w:type="dxa"/>
          </w:tblCellMar>
        </w:tblPrEx>
        <w:trPr>
          <w:trHeight w:val="528" w:hRule="atLeast"/>
          <w:jc w:val="center"/>
        </w:trPr>
        <w:tc>
          <w:tcPr>
            <w:tcW w:w="14629" w:type="dxa"/>
            <w:gridSpan w:val="8"/>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E9BDF2">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二、马鞍山1#排土场790m沉砂池</w:t>
            </w:r>
          </w:p>
        </w:tc>
      </w:tr>
      <w:tr w14:paraId="75B6C61B">
        <w:tblPrEx>
          <w:tblCellMar>
            <w:top w:w="0" w:type="dxa"/>
            <w:left w:w="108" w:type="dxa"/>
            <w:bottom w:w="0" w:type="dxa"/>
            <w:right w:w="108" w:type="dxa"/>
          </w:tblCellMar>
        </w:tblPrEx>
        <w:trPr>
          <w:trHeight w:val="1515"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5D2672">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235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1E2868">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lang w:val="en-US" w:eastAsia="zh-CN"/>
              </w:rPr>
              <w:t>土方开挖</w:t>
            </w:r>
          </w:p>
        </w:tc>
        <w:tc>
          <w:tcPr>
            <w:tcW w:w="617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EC839A">
            <w:pPr>
              <w:keepNext w:val="0"/>
              <w:keepLines w:val="0"/>
              <w:pageBreakBefore w:val="0"/>
              <w:widowControl/>
              <w:numPr>
                <w:ilvl w:val="0"/>
                <w:numId w:val="25"/>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787EE49E">
            <w:pPr>
              <w:keepNext w:val="0"/>
              <w:keepLines w:val="0"/>
              <w:pageBreakBefore w:val="0"/>
              <w:widowControl/>
              <w:numPr>
                <w:ilvl w:val="0"/>
                <w:numId w:val="25"/>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开挖高度：2米，长度：3米，宽度：2.5米；</w:t>
            </w:r>
          </w:p>
          <w:p w14:paraId="39D31949">
            <w:pPr>
              <w:keepNext w:val="0"/>
              <w:keepLines w:val="0"/>
              <w:pageBreakBefore w:val="0"/>
              <w:widowControl/>
              <w:numPr>
                <w:ilvl w:val="0"/>
                <w:numId w:val="25"/>
              </w:numPr>
              <w:kinsoku/>
              <w:wordWrap/>
              <w:overflowPunct/>
              <w:topLinePunct w:val="0"/>
              <w:autoSpaceDE/>
              <w:autoSpaceDN/>
              <w:bidi w:val="0"/>
              <w:adjustRightInd/>
              <w:snapToGrid/>
              <w:spacing w:line="340" w:lineRule="exact"/>
              <w:textAlignment w:val="auto"/>
              <w:rPr>
                <w:rFonts w:hint="eastAsia"/>
                <w:kern w:val="2"/>
                <w:sz w:val="24"/>
                <w:szCs w:val="24"/>
                <w:lang w:val="en-US" w:eastAsia="zh-CN" w:bidi="ar-SA"/>
              </w:rPr>
            </w:pPr>
            <w:r>
              <w:rPr>
                <w:rFonts w:hint="eastAsia" w:ascii="宋体" w:hAnsi="宋体" w:eastAsia="宋体" w:cs="Times New Roman"/>
                <w:sz w:val="24"/>
                <w:szCs w:val="24"/>
                <w:lang w:val="en-US" w:eastAsia="zh-CN"/>
              </w:rPr>
              <w:t>余土：就地弃土；</w:t>
            </w:r>
          </w:p>
          <w:p w14:paraId="4DF614F7">
            <w:pPr>
              <w:keepNext w:val="0"/>
              <w:keepLines w:val="0"/>
              <w:pageBreakBefore w:val="0"/>
              <w:widowControl/>
              <w:numPr>
                <w:ilvl w:val="0"/>
                <w:numId w:val="25"/>
              </w:numPr>
              <w:kinsoku/>
              <w:wordWrap/>
              <w:overflowPunct/>
              <w:topLinePunct w:val="0"/>
              <w:autoSpaceDE/>
              <w:autoSpaceDN/>
              <w:bidi w:val="0"/>
              <w:adjustRightInd/>
              <w:snapToGrid/>
              <w:spacing w:line="340" w:lineRule="exact"/>
              <w:textAlignment w:val="auto"/>
              <w:rPr>
                <w:rFonts w:hint="eastAsia"/>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3377F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96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85EA02">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15</w:t>
            </w:r>
          </w:p>
        </w:tc>
        <w:tc>
          <w:tcPr>
            <w:tcW w:w="153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2F4BF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p>
        </w:tc>
        <w:tc>
          <w:tcPr>
            <w:tcW w:w="124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48327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114D0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0EBD1121">
        <w:tblPrEx>
          <w:tblCellMar>
            <w:top w:w="0" w:type="dxa"/>
            <w:left w:w="108" w:type="dxa"/>
            <w:bottom w:w="0" w:type="dxa"/>
            <w:right w:w="108" w:type="dxa"/>
          </w:tblCellMar>
        </w:tblPrEx>
        <w:trPr>
          <w:trHeight w:val="2565"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B16CF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2357" w:type="dxa"/>
            <w:tcBorders>
              <w:top w:val="single" w:color="auto" w:sz="4" w:space="0"/>
              <w:left w:val="nil"/>
              <w:bottom w:val="single" w:color="auto" w:sz="4" w:space="0"/>
              <w:right w:val="single" w:color="auto" w:sz="4" w:space="0"/>
            </w:tcBorders>
            <w:shd w:val="clear" w:color="auto" w:fill="FFFFFF"/>
            <w:noWrap w:val="0"/>
            <w:vAlign w:val="center"/>
          </w:tcPr>
          <w:p w14:paraId="2929D220">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sz w:val="24"/>
                <w:szCs w:val="24"/>
                <w:lang w:val="en-US" w:eastAsia="zh-CN"/>
              </w:rPr>
              <w:t>砌筑毛石沉砂池</w:t>
            </w:r>
          </w:p>
        </w:tc>
        <w:tc>
          <w:tcPr>
            <w:tcW w:w="6176" w:type="dxa"/>
            <w:tcBorders>
              <w:top w:val="single" w:color="auto" w:sz="4" w:space="0"/>
              <w:left w:val="nil"/>
              <w:bottom w:val="single" w:color="auto" w:sz="4" w:space="0"/>
              <w:right w:val="single" w:color="auto" w:sz="4" w:space="0"/>
            </w:tcBorders>
            <w:shd w:val="clear" w:color="auto" w:fill="FFFFFF"/>
            <w:noWrap w:val="0"/>
            <w:vAlign w:val="center"/>
          </w:tcPr>
          <w:p w14:paraId="2996E8B4">
            <w:pPr>
              <w:keepNext w:val="0"/>
              <w:keepLines w:val="0"/>
              <w:pageBreakBefore w:val="0"/>
              <w:widowControl/>
              <w:numPr>
                <w:ilvl w:val="0"/>
                <w:numId w:val="26"/>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长度：3米，宽度2.5米，池底厚0.4米，池壁高：1.5米，池壁厚0.5米；</w:t>
            </w:r>
          </w:p>
          <w:p w14:paraId="79A135B5">
            <w:pPr>
              <w:keepNext w:val="0"/>
              <w:keepLines w:val="0"/>
              <w:pageBreakBefore w:val="0"/>
              <w:widowControl/>
              <w:numPr>
                <w:ilvl w:val="0"/>
                <w:numId w:val="26"/>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砂浆强度等级:水泥砂浆M7.5；</w:t>
            </w:r>
          </w:p>
          <w:p w14:paraId="77974DB6">
            <w:pPr>
              <w:keepNext w:val="0"/>
              <w:keepLines w:val="0"/>
              <w:pageBreakBefore w:val="0"/>
              <w:widowControl/>
              <w:numPr>
                <w:ilvl w:val="0"/>
                <w:numId w:val="26"/>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石料材质：石料应采用质地坚硬、不易风化的材料，且无裂纹；</w:t>
            </w:r>
          </w:p>
          <w:p w14:paraId="5978782F">
            <w:pPr>
              <w:keepNext w:val="0"/>
              <w:keepLines w:val="0"/>
              <w:pageBreakBefore w:val="0"/>
              <w:widowControl/>
              <w:numPr>
                <w:ilvl w:val="0"/>
                <w:numId w:val="26"/>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含运输、砌筑、二次搬运等一切工作内容；</w:t>
            </w:r>
          </w:p>
          <w:p w14:paraId="7A61940E">
            <w:pPr>
              <w:keepNext w:val="0"/>
              <w:keepLines w:val="0"/>
              <w:pageBreakBefore w:val="0"/>
              <w:widowControl/>
              <w:numPr>
                <w:ilvl w:val="0"/>
                <w:numId w:val="26"/>
              </w:numPr>
              <w:kinsoku/>
              <w:wordWrap/>
              <w:overflowPunct/>
              <w:topLinePunct w:val="0"/>
              <w:autoSpaceDE/>
              <w:autoSpaceDN/>
              <w:bidi w:val="0"/>
              <w:adjustRightInd/>
              <w:snapToGrid/>
              <w:spacing w:line="340" w:lineRule="exact"/>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nil"/>
              <w:bottom w:val="single" w:color="auto" w:sz="4" w:space="0"/>
              <w:right w:val="single" w:color="auto" w:sz="4" w:space="0"/>
            </w:tcBorders>
            <w:shd w:val="clear" w:color="auto" w:fill="FFFFFF"/>
            <w:noWrap w:val="0"/>
            <w:vAlign w:val="center"/>
          </w:tcPr>
          <w:p w14:paraId="17A074E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962" w:type="dxa"/>
            <w:tcBorders>
              <w:top w:val="single" w:color="auto" w:sz="4" w:space="0"/>
              <w:left w:val="nil"/>
              <w:bottom w:val="single" w:color="auto" w:sz="4" w:space="0"/>
              <w:right w:val="single" w:color="auto" w:sz="4" w:space="0"/>
            </w:tcBorders>
            <w:shd w:val="clear" w:color="auto" w:fill="FFFFFF"/>
            <w:noWrap w:val="0"/>
            <w:vAlign w:val="center"/>
          </w:tcPr>
          <w:p w14:paraId="6C6D1CF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4"/>
                <w:szCs w:val="24"/>
                <w:lang w:val="en-US" w:eastAsia="zh-CN" w:bidi="ar-SA"/>
              </w:rPr>
            </w:pPr>
            <w:r>
              <w:rPr>
                <w:rFonts w:hint="eastAsia" w:ascii="宋体" w:hAnsi="宋体" w:cs="宋体"/>
                <w:color w:val="000000"/>
                <w:kern w:val="0"/>
                <w:sz w:val="24"/>
                <w:szCs w:val="24"/>
                <w:lang w:val="en-US" w:eastAsia="zh-CN"/>
              </w:rPr>
              <w:t>11.25</w:t>
            </w:r>
          </w:p>
        </w:tc>
        <w:tc>
          <w:tcPr>
            <w:tcW w:w="1538" w:type="dxa"/>
            <w:tcBorders>
              <w:top w:val="single" w:color="auto" w:sz="4" w:space="0"/>
              <w:left w:val="nil"/>
              <w:bottom w:val="single" w:color="auto" w:sz="4" w:space="0"/>
              <w:right w:val="single" w:color="auto" w:sz="4" w:space="0"/>
            </w:tcBorders>
            <w:shd w:val="clear" w:color="auto" w:fill="FFFFFF"/>
            <w:noWrap w:val="0"/>
            <w:vAlign w:val="center"/>
          </w:tcPr>
          <w:p w14:paraId="5E3626A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4"/>
                <w:szCs w:val="24"/>
                <w:lang w:val="en-US" w:eastAsia="zh-CN" w:bidi="ar-SA"/>
              </w:rPr>
            </w:pPr>
          </w:p>
        </w:tc>
        <w:tc>
          <w:tcPr>
            <w:tcW w:w="1241" w:type="dxa"/>
            <w:tcBorders>
              <w:top w:val="single" w:color="auto" w:sz="4" w:space="0"/>
              <w:left w:val="nil"/>
              <w:bottom w:val="single" w:color="auto" w:sz="4" w:space="0"/>
              <w:right w:val="single" w:color="auto" w:sz="4" w:space="0"/>
            </w:tcBorders>
            <w:shd w:val="clear" w:color="auto" w:fill="FFFFFF"/>
            <w:noWrap w:val="0"/>
            <w:vAlign w:val="center"/>
          </w:tcPr>
          <w:p w14:paraId="2E9702C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nil"/>
              <w:bottom w:val="single" w:color="auto" w:sz="4" w:space="0"/>
              <w:right w:val="single" w:color="auto" w:sz="4" w:space="0"/>
            </w:tcBorders>
            <w:shd w:val="clear" w:color="auto" w:fill="FFFFFF"/>
            <w:noWrap w:val="0"/>
            <w:vAlign w:val="center"/>
          </w:tcPr>
          <w:p w14:paraId="2E1E2B6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3388232A">
        <w:tblPrEx>
          <w:tblCellMar>
            <w:top w:w="0" w:type="dxa"/>
            <w:left w:w="108" w:type="dxa"/>
            <w:bottom w:w="0" w:type="dxa"/>
            <w:right w:w="108" w:type="dxa"/>
          </w:tblCellMar>
        </w:tblPrEx>
        <w:trPr>
          <w:trHeight w:val="1240"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4E23F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2357" w:type="dxa"/>
            <w:tcBorders>
              <w:top w:val="single" w:color="auto" w:sz="4" w:space="0"/>
              <w:left w:val="nil"/>
              <w:bottom w:val="single" w:color="auto" w:sz="4" w:space="0"/>
              <w:right w:val="single" w:color="auto" w:sz="4" w:space="0"/>
            </w:tcBorders>
            <w:shd w:val="clear" w:color="auto" w:fill="FFFFFF"/>
            <w:noWrap w:val="0"/>
            <w:vAlign w:val="center"/>
          </w:tcPr>
          <w:p w14:paraId="52860CA6">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cs="宋体"/>
                <w:color w:val="auto"/>
                <w:spacing w:val="4"/>
                <w:sz w:val="24"/>
                <w:lang w:val="en-US" w:eastAsia="zh-CN"/>
              </w:rPr>
            </w:pPr>
            <w:r>
              <w:rPr>
                <w:rFonts w:hint="eastAsia" w:ascii="宋体" w:hAnsi="宋体" w:eastAsia="宋体" w:cs="Times New Roman"/>
                <w:sz w:val="24"/>
                <w:szCs w:val="24"/>
                <w:lang w:val="en-US" w:eastAsia="zh-CN"/>
              </w:rPr>
              <w:t>抹灰</w:t>
            </w:r>
          </w:p>
        </w:tc>
        <w:tc>
          <w:tcPr>
            <w:tcW w:w="6176" w:type="dxa"/>
            <w:tcBorders>
              <w:top w:val="single" w:color="auto" w:sz="4" w:space="0"/>
              <w:left w:val="nil"/>
              <w:bottom w:val="single" w:color="auto" w:sz="4" w:space="0"/>
              <w:right w:val="single" w:color="auto" w:sz="4" w:space="0"/>
            </w:tcBorders>
            <w:shd w:val="clear" w:color="auto" w:fill="FFFFFF"/>
            <w:noWrap w:val="0"/>
            <w:vAlign w:val="center"/>
          </w:tcPr>
          <w:p w14:paraId="27F00BF0">
            <w:pPr>
              <w:keepNext w:val="0"/>
              <w:keepLines w:val="0"/>
              <w:pageBreakBefore w:val="0"/>
              <w:widowControl/>
              <w:numPr>
                <w:ilvl w:val="0"/>
                <w:numId w:val="27"/>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位置:池底、池内壁、</w:t>
            </w:r>
            <w:r>
              <w:rPr>
                <w:rFonts w:hint="eastAsia" w:ascii="宋体" w:hAnsi="宋体" w:eastAsia="宋体" w:cs="Times New Roman"/>
                <w:sz w:val="24"/>
                <w:szCs w:val="24"/>
                <w:highlight w:val="none"/>
                <w:lang w:val="en-US" w:eastAsia="zh-CN"/>
              </w:rPr>
              <w:t>池顶</w:t>
            </w:r>
            <w:r>
              <w:rPr>
                <w:rFonts w:hint="eastAsia" w:ascii="宋体" w:hAnsi="宋体" w:eastAsia="宋体" w:cs="Times New Roman"/>
                <w:sz w:val="24"/>
                <w:szCs w:val="24"/>
                <w:lang w:val="en-US" w:eastAsia="zh-CN"/>
              </w:rPr>
              <w:t>；</w:t>
            </w:r>
          </w:p>
          <w:p w14:paraId="037852C4">
            <w:pPr>
              <w:keepNext w:val="0"/>
              <w:keepLines w:val="0"/>
              <w:pageBreakBefore w:val="0"/>
              <w:widowControl/>
              <w:numPr>
                <w:ilvl w:val="0"/>
                <w:numId w:val="27"/>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砂浆强度等级：M7.5水泥砂浆；</w:t>
            </w:r>
          </w:p>
          <w:p w14:paraId="785C222D">
            <w:pPr>
              <w:keepNext w:val="0"/>
              <w:keepLines w:val="0"/>
              <w:pageBreakBefore w:val="0"/>
              <w:widowControl/>
              <w:numPr>
                <w:ilvl w:val="0"/>
                <w:numId w:val="27"/>
              </w:numPr>
              <w:kinsoku/>
              <w:wordWrap/>
              <w:overflowPunct/>
              <w:topLinePunct w:val="0"/>
              <w:autoSpaceDE/>
              <w:autoSpaceDN/>
              <w:bidi w:val="0"/>
              <w:adjustRightInd/>
              <w:snapToGrid/>
              <w:spacing w:line="340" w:lineRule="exact"/>
              <w:textAlignment w:val="auto"/>
              <w:rPr>
                <w:rFonts w:hint="eastAsia" w:ascii="宋体" w:hAnsi="宋体" w:eastAsia="宋体" w:cs="Times New Roman"/>
                <w:color w:val="auto"/>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nil"/>
              <w:bottom w:val="single" w:color="auto" w:sz="4" w:space="0"/>
              <w:right w:val="single" w:color="auto" w:sz="4" w:space="0"/>
            </w:tcBorders>
            <w:shd w:val="clear" w:color="auto" w:fill="FFFFFF"/>
            <w:noWrap w:val="0"/>
            <w:vAlign w:val="center"/>
          </w:tcPr>
          <w:p w14:paraId="788E251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cs="宋体"/>
                <w:color w:val="auto"/>
                <w:kern w:val="0"/>
                <w:sz w:val="24"/>
                <w:szCs w:val="24"/>
                <w:lang w:eastAsia="zh-CN"/>
              </w:rPr>
            </w:pPr>
            <w:r>
              <w:rPr>
                <w:rFonts w:hint="eastAsia" w:ascii="宋体" w:hAnsi="宋体" w:cs="宋体"/>
                <w:color w:val="000000"/>
                <w:kern w:val="0"/>
                <w:sz w:val="24"/>
                <w:szCs w:val="24"/>
              </w:rPr>
              <w:t>㎡</w:t>
            </w:r>
          </w:p>
        </w:tc>
        <w:tc>
          <w:tcPr>
            <w:tcW w:w="962" w:type="dxa"/>
            <w:tcBorders>
              <w:top w:val="single" w:color="auto" w:sz="4" w:space="0"/>
              <w:left w:val="nil"/>
              <w:bottom w:val="single" w:color="auto" w:sz="4" w:space="0"/>
              <w:right w:val="single" w:color="auto" w:sz="4" w:space="0"/>
            </w:tcBorders>
            <w:shd w:val="clear" w:color="auto" w:fill="FFFFFF"/>
            <w:noWrap w:val="0"/>
            <w:vAlign w:val="center"/>
          </w:tcPr>
          <w:p w14:paraId="378A7C5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4"/>
                <w:szCs w:val="24"/>
                <w:lang w:val="en-US" w:eastAsia="zh-CN"/>
              </w:rPr>
            </w:pPr>
            <w:r>
              <w:rPr>
                <w:rFonts w:hint="eastAsia" w:ascii="宋体" w:hAnsi="宋体" w:cs="宋体"/>
                <w:color w:val="000000"/>
                <w:kern w:val="0"/>
                <w:sz w:val="24"/>
                <w:szCs w:val="24"/>
                <w:lang w:val="en-US" w:eastAsia="zh-CN"/>
              </w:rPr>
              <w:t>18</w:t>
            </w:r>
          </w:p>
        </w:tc>
        <w:tc>
          <w:tcPr>
            <w:tcW w:w="1538" w:type="dxa"/>
            <w:tcBorders>
              <w:top w:val="single" w:color="auto" w:sz="4" w:space="0"/>
              <w:left w:val="nil"/>
              <w:bottom w:val="single" w:color="auto" w:sz="4" w:space="0"/>
              <w:right w:val="single" w:color="auto" w:sz="4" w:space="0"/>
            </w:tcBorders>
            <w:shd w:val="clear" w:color="auto" w:fill="FFFFFF"/>
            <w:noWrap w:val="0"/>
            <w:vAlign w:val="center"/>
          </w:tcPr>
          <w:p w14:paraId="7D99B14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4"/>
                <w:szCs w:val="24"/>
                <w:lang w:val="en-US" w:eastAsia="zh-CN" w:bidi="ar-SA"/>
              </w:rPr>
            </w:pPr>
          </w:p>
        </w:tc>
        <w:tc>
          <w:tcPr>
            <w:tcW w:w="1241" w:type="dxa"/>
            <w:tcBorders>
              <w:top w:val="single" w:color="auto" w:sz="4" w:space="0"/>
              <w:left w:val="nil"/>
              <w:bottom w:val="single" w:color="auto" w:sz="4" w:space="0"/>
              <w:right w:val="single" w:color="auto" w:sz="4" w:space="0"/>
            </w:tcBorders>
            <w:shd w:val="clear" w:color="auto" w:fill="FFFFFF"/>
            <w:noWrap w:val="0"/>
            <w:vAlign w:val="center"/>
          </w:tcPr>
          <w:p w14:paraId="0CA297E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nil"/>
              <w:bottom w:val="single" w:color="auto" w:sz="4" w:space="0"/>
              <w:right w:val="single" w:color="auto" w:sz="4" w:space="0"/>
            </w:tcBorders>
            <w:shd w:val="clear" w:color="auto" w:fill="FFFFFF"/>
            <w:noWrap w:val="0"/>
            <w:vAlign w:val="center"/>
          </w:tcPr>
          <w:p w14:paraId="51AB662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4F72A8F4">
        <w:tblPrEx>
          <w:tblCellMar>
            <w:top w:w="0" w:type="dxa"/>
            <w:left w:w="108" w:type="dxa"/>
            <w:bottom w:w="0" w:type="dxa"/>
            <w:right w:w="108" w:type="dxa"/>
          </w:tblCellMar>
        </w:tblPrEx>
        <w:trPr>
          <w:trHeight w:val="541" w:hRule="atLeast"/>
          <w:jc w:val="center"/>
        </w:trPr>
        <w:tc>
          <w:tcPr>
            <w:tcW w:w="14629" w:type="dxa"/>
            <w:gridSpan w:val="8"/>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0A5F4B">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三、运矿道路埋设涵管</w:t>
            </w:r>
          </w:p>
        </w:tc>
      </w:tr>
      <w:tr w14:paraId="7B663E12">
        <w:tblPrEx>
          <w:tblCellMar>
            <w:top w:w="0" w:type="dxa"/>
            <w:left w:w="108" w:type="dxa"/>
            <w:bottom w:w="0" w:type="dxa"/>
            <w:right w:w="108" w:type="dxa"/>
          </w:tblCellMar>
        </w:tblPrEx>
        <w:trPr>
          <w:trHeight w:val="1530"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A1425B">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1</w:t>
            </w:r>
          </w:p>
        </w:tc>
        <w:tc>
          <w:tcPr>
            <w:tcW w:w="2357" w:type="dxa"/>
            <w:tcBorders>
              <w:top w:val="single" w:color="auto" w:sz="4" w:space="0"/>
              <w:left w:val="nil"/>
              <w:bottom w:val="single" w:color="auto" w:sz="4" w:space="0"/>
              <w:right w:val="single" w:color="auto" w:sz="4" w:space="0"/>
            </w:tcBorders>
            <w:shd w:val="clear" w:color="auto" w:fill="FFFFFF"/>
            <w:noWrap w:val="0"/>
            <w:vAlign w:val="center"/>
          </w:tcPr>
          <w:p w14:paraId="1D77D43D">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sz w:val="24"/>
                <w:szCs w:val="24"/>
                <w:lang w:val="en-US" w:eastAsia="zh-CN"/>
              </w:rPr>
              <w:t>土方开挖</w:t>
            </w:r>
          </w:p>
        </w:tc>
        <w:tc>
          <w:tcPr>
            <w:tcW w:w="6176" w:type="dxa"/>
            <w:tcBorders>
              <w:top w:val="single" w:color="auto" w:sz="4" w:space="0"/>
              <w:left w:val="nil"/>
              <w:bottom w:val="single" w:color="auto" w:sz="4" w:space="0"/>
              <w:right w:val="single" w:color="auto" w:sz="4" w:space="0"/>
            </w:tcBorders>
            <w:shd w:val="clear" w:color="auto" w:fill="FFFFFF"/>
            <w:noWrap w:val="0"/>
            <w:vAlign w:val="center"/>
          </w:tcPr>
          <w:p w14:paraId="134A8597">
            <w:pPr>
              <w:keepNext w:val="0"/>
              <w:keepLines w:val="0"/>
              <w:pageBreakBefore w:val="0"/>
              <w:widowControl/>
              <w:numPr>
                <w:ilvl w:val="0"/>
                <w:numId w:val="28"/>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开挖方式:自行选择；</w:t>
            </w:r>
          </w:p>
          <w:p w14:paraId="2808A3DD">
            <w:pPr>
              <w:keepNext w:val="0"/>
              <w:keepLines w:val="0"/>
              <w:pageBreakBefore w:val="0"/>
              <w:widowControl/>
              <w:numPr>
                <w:ilvl w:val="0"/>
                <w:numId w:val="28"/>
              </w:numPr>
              <w:kinsoku/>
              <w:wordWrap/>
              <w:overflowPunct/>
              <w:topLinePunct w:val="0"/>
              <w:autoSpaceDE/>
              <w:autoSpaceDN/>
              <w:bidi w:val="0"/>
              <w:adjustRightInd/>
              <w:snapToGrid/>
              <w:spacing w:line="340" w:lineRule="exact"/>
              <w:textAlignment w:val="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开挖高度：2米，长度：14米，</w:t>
            </w:r>
            <w:r>
              <w:rPr>
                <w:rFonts w:hint="eastAsia" w:ascii="宋体" w:hAnsi="宋体" w:eastAsia="宋体" w:cs="Times New Roman"/>
                <w:sz w:val="24"/>
                <w:szCs w:val="24"/>
                <w:highlight w:val="none"/>
                <w:lang w:val="en-US" w:eastAsia="zh-CN"/>
              </w:rPr>
              <w:t>宽度：1.2米</w:t>
            </w:r>
            <w:r>
              <w:rPr>
                <w:rFonts w:hint="eastAsia" w:ascii="宋体" w:hAnsi="宋体" w:eastAsia="宋体" w:cs="Times New Roman"/>
                <w:sz w:val="24"/>
                <w:szCs w:val="24"/>
                <w:lang w:val="en-US" w:eastAsia="zh-CN"/>
              </w:rPr>
              <w:t>；</w:t>
            </w:r>
          </w:p>
          <w:p w14:paraId="6E9B1424">
            <w:pPr>
              <w:keepNext w:val="0"/>
              <w:keepLines w:val="0"/>
              <w:pageBreakBefore w:val="0"/>
              <w:widowControl/>
              <w:numPr>
                <w:ilvl w:val="0"/>
                <w:numId w:val="28"/>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余土：就地弃土；</w:t>
            </w:r>
          </w:p>
          <w:p w14:paraId="55D23BA6">
            <w:pPr>
              <w:keepNext w:val="0"/>
              <w:keepLines w:val="0"/>
              <w:pageBreakBefore w:val="0"/>
              <w:widowControl/>
              <w:numPr>
                <w:ilvl w:val="0"/>
                <w:numId w:val="28"/>
              </w:numPr>
              <w:kinsoku/>
              <w:wordWrap/>
              <w:overflowPunct/>
              <w:topLinePunct w:val="0"/>
              <w:autoSpaceDE/>
              <w:autoSpaceDN/>
              <w:bidi w:val="0"/>
              <w:adjustRightInd/>
              <w:snapToGrid/>
              <w:spacing w:line="340" w:lineRule="exact"/>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nil"/>
              <w:bottom w:val="single" w:color="auto" w:sz="4" w:space="0"/>
              <w:right w:val="single" w:color="auto" w:sz="4" w:space="0"/>
            </w:tcBorders>
            <w:shd w:val="clear" w:color="auto" w:fill="FFFFFF"/>
            <w:noWrap w:val="0"/>
            <w:vAlign w:val="center"/>
          </w:tcPr>
          <w:p w14:paraId="4872F9C3">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962" w:type="dxa"/>
            <w:tcBorders>
              <w:top w:val="single" w:color="auto" w:sz="4" w:space="0"/>
              <w:left w:val="nil"/>
              <w:bottom w:val="single" w:color="auto" w:sz="4" w:space="0"/>
              <w:right w:val="single" w:color="auto" w:sz="4" w:space="0"/>
            </w:tcBorders>
            <w:shd w:val="clear" w:color="auto" w:fill="FFFFFF"/>
            <w:noWrap w:val="0"/>
            <w:vAlign w:val="center"/>
          </w:tcPr>
          <w:p w14:paraId="57132FC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4"/>
                <w:szCs w:val="24"/>
                <w:lang w:val="en-US" w:eastAsia="zh-CN" w:bidi="ar-SA"/>
              </w:rPr>
            </w:pPr>
            <w:r>
              <w:rPr>
                <w:rFonts w:hint="eastAsia" w:ascii="宋体" w:hAnsi="宋体" w:cs="宋体"/>
                <w:color w:val="000000"/>
                <w:kern w:val="0"/>
                <w:sz w:val="24"/>
                <w:szCs w:val="24"/>
                <w:lang w:val="en-US" w:eastAsia="zh-CN"/>
              </w:rPr>
              <w:t>33.6</w:t>
            </w:r>
          </w:p>
        </w:tc>
        <w:tc>
          <w:tcPr>
            <w:tcW w:w="1538" w:type="dxa"/>
            <w:tcBorders>
              <w:top w:val="single" w:color="auto" w:sz="4" w:space="0"/>
              <w:left w:val="nil"/>
              <w:bottom w:val="single" w:color="auto" w:sz="4" w:space="0"/>
              <w:right w:val="single" w:color="auto" w:sz="4" w:space="0"/>
            </w:tcBorders>
            <w:shd w:val="clear" w:color="auto" w:fill="FFFFFF"/>
            <w:noWrap w:val="0"/>
            <w:vAlign w:val="center"/>
          </w:tcPr>
          <w:p w14:paraId="3E7B7D36">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kern w:val="0"/>
                <w:sz w:val="24"/>
                <w:szCs w:val="24"/>
                <w:lang w:val="en-US" w:eastAsia="zh-CN" w:bidi="ar-SA"/>
              </w:rPr>
            </w:pPr>
          </w:p>
        </w:tc>
        <w:tc>
          <w:tcPr>
            <w:tcW w:w="1241" w:type="dxa"/>
            <w:tcBorders>
              <w:top w:val="single" w:color="auto" w:sz="4" w:space="0"/>
              <w:left w:val="nil"/>
              <w:bottom w:val="single" w:color="auto" w:sz="4" w:space="0"/>
              <w:right w:val="single" w:color="auto" w:sz="4" w:space="0"/>
            </w:tcBorders>
            <w:shd w:val="clear" w:color="auto" w:fill="FFFFFF"/>
            <w:noWrap w:val="0"/>
            <w:vAlign w:val="center"/>
          </w:tcPr>
          <w:p w14:paraId="277023A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nil"/>
              <w:bottom w:val="single" w:color="auto" w:sz="4" w:space="0"/>
              <w:right w:val="single" w:color="auto" w:sz="4" w:space="0"/>
            </w:tcBorders>
            <w:shd w:val="clear" w:color="auto" w:fill="FFFFFF"/>
            <w:noWrap w:val="0"/>
            <w:vAlign w:val="center"/>
          </w:tcPr>
          <w:p w14:paraId="2608867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0B52AA8C">
        <w:tblPrEx>
          <w:tblCellMar>
            <w:top w:w="0" w:type="dxa"/>
            <w:left w:w="108" w:type="dxa"/>
            <w:bottom w:w="0" w:type="dxa"/>
            <w:right w:w="108" w:type="dxa"/>
          </w:tblCellMar>
        </w:tblPrEx>
        <w:trPr>
          <w:trHeight w:val="1935"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F6C23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2</w:t>
            </w:r>
          </w:p>
        </w:tc>
        <w:tc>
          <w:tcPr>
            <w:tcW w:w="2357" w:type="dxa"/>
            <w:tcBorders>
              <w:top w:val="single" w:color="auto" w:sz="4" w:space="0"/>
              <w:left w:val="nil"/>
              <w:bottom w:val="single" w:color="auto" w:sz="4" w:space="0"/>
              <w:right w:val="single" w:color="auto" w:sz="4" w:space="0"/>
            </w:tcBorders>
            <w:shd w:val="clear" w:color="auto" w:fill="FFFFFF"/>
            <w:noWrap w:val="0"/>
            <w:vAlign w:val="center"/>
          </w:tcPr>
          <w:p w14:paraId="0B5A9822">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lang w:val="en-US" w:eastAsia="zh-CN"/>
              </w:rPr>
              <w:t>现浇C15混凝土垫层</w:t>
            </w:r>
          </w:p>
        </w:tc>
        <w:tc>
          <w:tcPr>
            <w:tcW w:w="6176" w:type="dxa"/>
            <w:tcBorders>
              <w:top w:val="single" w:color="auto" w:sz="4" w:space="0"/>
              <w:left w:val="nil"/>
              <w:bottom w:val="single" w:color="auto" w:sz="4" w:space="0"/>
              <w:right w:val="single" w:color="auto" w:sz="4" w:space="0"/>
            </w:tcBorders>
            <w:shd w:val="clear" w:color="auto" w:fill="FFFFFF"/>
            <w:noWrap w:val="0"/>
            <w:vAlign w:val="center"/>
          </w:tcPr>
          <w:p w14:paraId="1CEB9E64">
            <w:pPr>
              <w:keepNext w:val="0"/>
              <w:keepLines w:val="0"/>
              <w:pageBreakBefore w:val="0"/>
              <w:widowControl/>
              <w:numPr>
                <w:ilvl w:val="0"/>
                <w:numId w:val="29"/>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混凝土强度等级：C15；</w:t>
            </w:r>
          </w:p>
          <w:p w14:paraId="181368CA">
            <w:pPr>
              <w:keepNext w:val="0"/>
              <w:keepLines w:val="0"/>
              <w:pageBreakBefore w:val="0"/>
              <w:widowControl/>
              <w:numPr>
                <w:ilvl w:val="0"/>
                <w:numId w:val="29"/>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混凝土种类：现浇混凝土；</w:t>
            </w:r>
          </w:p>
          <w:p w14:paraId="163920A6">
            <w:pPr>
              <w:keepNext w:val="0"/>
              <w:keepLines w:val="0"/>
              <w:pageBreakBefore w:val="0"/>
              <w:widowControl/>
              <w:numPr>
                <w:ilvl w:val="0"/>
                <w:numId w:val="29"/>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垫层厚度：150mm，宽度：1.2米；</w:t>
            </w:r>
          </w:p>
          <w:p w14:paraId="12F9B3E3">
            <w:pPr>
              <w:keepNext w:val="0"/>
              <w:keepLines w:val="0"/>
              <w:pageBreakBefore w:val="0"/>
              <w:widowControl/>
              <w:numPr>
                <w:ilvl w:val="0"/>
                <w:numId w:val="29"/>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垫层部位：涵管下；</w:t>
            </w:r>
          </w:p>
          <w:p w14:paraId="41C9F490">
            <w:pPr>
              <w:keepNext w:val="0"/>
              <w:keepLines w:val="0"/>
              <w:pageBreakBefore w:val="0"/>
              <w:widowControl/>
              <w:numPr>
                <w:ilvl w:val="0"/>
                <w:numId w:val="29"/>
              </w:numPr>
              <w:kinsoku/>
              <w:wordWrap/>
              <w:overflowPunct/>
              <w:topLinePunct w:val="0"/>
              <w:autoSpaceDE/>
              <w:autoSpaceDN/>
              <w:bidi w:val="0"/>
              <w:adjustRightInd/>
              <w:snapToGrid/>
              <w:spacing w:line="340" w:lineRule="exact"/>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nil"/>
              <w:bottom w:val="single" w:color="auto" w:sz="4" w:space="0"/>
              <w:right w:val="single" w:color="auto" w:sz="4" w:space="0"/>
            </w:tcBorders>
            <w:shd w:val="clear" w:color="auto" w:fill="FFFFFF"/>
            <w:noWrap w:val="0"/>
            <w:vAlign w:val="center"/>
          </w:tcPr>
          <w:p w14:paraId="5EF3944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962" w:type="dxa"/>
            <w:tcBorders>
              <w:top w:val="single" w:color="auto" w:sz="4" w:space="0"/>
              <w:left w:val="nil"/>
              <w:bottom w:val="single" w:color="auto" w:sz="4" w:space="0"/>
              <w:right w:val="single" w:color="auto" w:sz="4" w:space="0"/>
            </w:tcBorders>
            <w:shd w:val="clear" w:color="auto" w:fill="FFFFFF"/>
            <w:noWrap w:val="0"/>
            <w:vAlign w:val="center"/>
          </w:tcPr>
          <w:p w14:paraId="45BA2077">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rPr>
              <w:t>2.52</w:t>
            </w:r>
          </w:p>
        </w:tc>
        <w:tc>
          <w:tcPr>
            <w:tcW w:w="1538" w:type="dxa"/>
            <w:tcBorders>
              <w:top w:val="single" w:color="auto" w:sz="4" w:space="0"/>
              <w:left w:val="nil"/>
              <w:bottom w:val="single" w:color="auto" w:sz="4" w:space="0"/>
              <w:right w:val="single" w:color="auto" w:sz="4" w:space="0"/>
            </w:tcBorders>
            <w:shd w:val="clear" w:color="auto" w:fill="FFFFFF"/>
            <w:noWrap w:val="0"/>
            <w:vAlign w:val="center"/>
          </w:tcPr>
          <w:p w14:paraId="4F1E548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p>
        </w:tc>
        <w:tc>
          <w:tcPr>
            <w:tcW w:w="1241" w:type="dxa"/>
            <w:tcBorders>
              <w:top w:val="single" w:color="auto" w:sz="4" w:space="0"/>
              <w:left w:val="nil"/>
              <w:bottom w:val="single" w:color="auto" w:sz="4" w:space="0"/>
              <w:right w:val="single" w:color="auto" w:sz="4" w:space="0"/>
            </w:tcBorders>
            <w:shd w:val="clear" w:color="auto" w:fill="FFFFFF"/>
            <w:noWrap w:val="0"/>
            <w:vAlign w:val="center"/>
          </w:tcPr>
          <w:p w14:paraId="76E8D16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nil"/>
              <w:bottom w:val="single" w:color="auto" w:sz="4" w:space="0"/>
              <w:right w:val="single" w:color="auto" w:sz="4" w:space="0"/>
            </w:tcBorders>
            <w:shd w:val="clear" w:color="auto" w:fill="FFFFFF"/>
            <w:noWrap w:val="0"/>
            <w:vAlign w:val="center"/>
          </w:tcPr>
          <w:p w14:paraId="149C46C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212E4E77">
        <w:tblPrEx>
          <w:tblCellMar>
            <w:top w:w="0" w:type="dxa"/>
            <w:left w:w="108" w:type="dxa"/>
            <w:bottom w:w="0" w:type="dxa"/>
            <w:right w:w="108" w:type="dxa"/>
          </w:tblCellMar>
        </w:tblPrEx>
        <w:trPr>
          <w:trHeight w:val="1810"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228328">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3</w:t>
            </w:r>
          </w:p>
        </w:tc>
        <w:tc>
          <w:tcPr>
            <w:tcW w:w="2357" w:type="dxa"/>
            <w:tcBorders>
              <w:top w:val="single" w:color="auto" w:sz="4" w:space="0"/>
              <w:left w:val="nil"/>
              <w:bottom w:val="single" w:color="auto" w:sz="4" w:space="0"/>
              <w:right w:val="single" w:color="auto" w:sz="4" w:space="0"/>
            </w:tcBorders>
            <w:shd w:val="clear" w:color="auto" w:fill="FFFFFF"/>
            <w:noWrap w:val="0"/>
            <w:vAlign w:val="center"/>
          </w:tcPr>
          <w:p w14:paraId="299B89B5">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铺设涵管</w:t>
            </w:r>
          </w:p>
        </w:tc>
        <w:tc>
          <w:tcPr>
            <w:tcW w:w="6176" w:type="dxa"/>
            <w:tcBorders>
              <w:top w:val="single" w:color="auto" w:sz="4" w:space="0"/>
              <w:left w:val="nil"/>
              <w:bottom w:val="single" w:color="auto" w:sz="4" w:space="0"/>
              <w:right w:val="single" w:color="auto" w:sz="4" w:space="0"/>
            </w:tcBorders>
            <w:shd w:val="clear" w:color="auto" w:fill="FFFFFF"/>
            <w:noWrap w:val="0"/>
            <w:vAlign w:val="center"/>
          </w:tcPr>
          <w:p w14:paraId="49B86597">
            <w:pPr>
              <w:keepNext w:val="0"/>
              <w:keepLines w:val="0"/>
              <w:pageBreakBefore w:val="0"/>
              <w:widowControl/>
              <w:numPr>
                <w:ilvl w:val="0"/>
                <w:numId w:val="30"/>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涵管材质：钢筋混凝土圆管涵；</w:t>
            </w:r>
          </w:p>
          <w:p w14:paraId="726C5845">
            <w:pPr>
              <w:keepNext w:val="0"/>
              <w:keepLines w:val="0"/>
              <w:pageBreakBefore w:val="0"/>
              <w:widowControl/>
              <w:numPr>
                <w:ilvl w:val="0"/>
                <w:numId w:val="30"/>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涵管尺寸：Φ500mm钢筋混凝土圆管涵；</w:t>
            </w:r>
          </w:p>
          <w:p w14:paraId="7888D1CE">
            <w:pPr>
              <w:keepNext w:val="0"/>
              <w:keepLines w:val="0"/>
              <w:pageBreakBefore w:val="0"/>
              <w:widowControl/>
              <w:numPr>
                <w:ilvl w:val="0"/>
                <w:numId w:val="30"/>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壁厚：壁厚100mm；</w:t>
            </w:r>
          </w:p>
          <w:p w14:paraId="5B386F27">
            <w:pPr>
              <w:keepNext w:val="0"/>
              <w:keepLines w:val="0"/>
              <w:pageBreakBefore w:val="0"/>
              <w:widowControl/>
              <w:numPr>
                <w:ilvl w:val="0"/>
                <w:numId w:val="30"/>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长度：单节长度2m；</w:t>
            </w:r>
          </w:p>
          <w:p w14:paraId="25DE8AC2">
            <w:pPr>
              <w:keepNext w:val="0"/>
              <w:keepLines w:val="0"/>
              <w:pageBreakBefore w:val="0"/>
              <w:widowControl/>
              <w:numPr>
                <w:ilvl w:val="0"/>
                <w:numId w:val="30"/>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nil"/>
              <w:bottom w:val="single" w:color="auto" w:sz="4" w:space="0"/>
              <w:right w:val="single" w:color="auto" w:sz="4" w:space="0"/>
            </w:tcBorders>
            <w:shd w:val="clear" w:color="auto" w:fill="FFFFFF"/>
            <w:noWrap w:val="0"/>
            <w:vAlign w:val="center"/>
          </w:tcPr>
          <w:p w14:paraId="5759655F">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m</w:t>
            </w:r>
          </w:p>
        </w:tc>
        <w:tc>
          <w:tcPr>
            <w:tcW w:w="962" w:type="dxa"/>
            <w:tcBorders>
              <w:top w:val="single" w:color="auto" w:sz="4" w:space="0"/>
              <w:left w:val="nil"/>
              <w:bottom w:val="single" w:color="auto" w:sz="4" w:space="0"/>
              <w:right w:val="single" w:color="auto" w:sz="4" w:space="0"/>
            </w:tcBorders>
            <w:shd w:val="clear" w:color="auto" w:fill="FFFFFF"/>
            <w:noWrap w:val="0"/>
            <w:vAlign w:val="center"/>
          </w:tcPr>
          <w:p w14:paraId="082493AE">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w:t>
            </w:r>
          </w:p>
        </w:tc>
        <w:tc>
          <w:tcPr>
            <w:tcW w:w="1538" w:type="dxa"/>
            <w:tcBorders>
              <w:top w:val="single" w:color="auto" w:sz="4" w:space="0"/>
              <w:left w:val="nil"/>
              <w:bottom w:val="single" w:color="auto" w:sz="4" w:space="0"/>
              <w:right w:val="single" w:color="auto" w:sz="4" w:space="0"/>
            </w:tcBorders>
            <w:shd w:val="clear" w:color="auto" w:fill="FFFFFF"/>
            <w:noWrap w:val="0"/>
            <w:vAlign w:val="center"/>
          </w:tcPr>
          <w:p w14:paraId="1431ED74">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p>
        </w:tc>
        <w:tc>
          <w:tcPr>
            <w:tcW w:w="1241" w:type="dxa"/>
            <w:tcBorders>
              <w:top w:val="single" w:color="auto" w:sz="4" w:space="0"/>
              <w:left w:val="nil"/>
              <w:bottom w:val="single" w:color="auto" w:sz="4" w:space="0"/>
              <w:right w:val="single" w:color="auto" w:sz="4" w:space="0"/>
            </w:tcBorders>
            <w:shd w:val="clear" w:color="auto" w:fill="FFFFFF"/>
            <w:noWrap w:val="0"/>
            <w:vAlign w:val="center"/>
          </w:tcPr>
          <w:p w14:paraId="0D90D86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nil"/>
              <w:bottom w:val="single" w:color="auto" w:sz="4" w:space="0"/>
              <w:right w:val="single" w:color="auto" w:sz="4" w:space="0"/>
            </w:tcBorders>
            <w:shd w:val="clear" w:color="auto" w:fill="FFFFFF"/>
            <w:noWrap w:val="0"/>
            <w:vAlign w:val="center"/>
          </w:tcPr>
          <w:p w14:paraId="308227A9">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2DE8AF4A">
        <w:tblPrEx>
          <w:tblCellMar>
            <w:top w:w="0" w:type="dxa"/>
            <w:left w:w="108" w:type="dxa"/>
            <w:bottom w:w="0" w:type="dxa"/>
            <w:right w:w="108" w:type="dxa"/>
          </w:tblCellMar>
        </w:tblPrEx>
        <w:trPr>
          <w:trHeight w:val="1189" w:hRule="atLeast"/>
          <w:jc w:val="center"/>
        </w:trPr>
        <w:tc>
          <w:tcPr>
            <w:tcW w:w="7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D10C85">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lang w:val="en-US" w:eastAsia="zh-CN"/>
              </w:rPr>
              <w:t>4</w:t>
            </w:r>
          </w:p>
        </w:tc>
        <w:tc>
          <w:tcPr>
            <w:tcW w:w="2357" w:type="dxa"/>
            <w:tcBorders>
              <w:top w:val="single" w:color="auto" w:sz="4" w:space="0"/>
              <w:left w:val="nil"/>
              <w:bottom w:val="single" w:color="auto" w:sz="4" w:space="0"/>
              <w:right w:val="single" w:color="auto" w:sz="4" w:space="0"/>
            </w:tcBorders>
            <w:shd w:val="clear" w:color="auto" w:fill="FFFFFF"/>
            <w:noWrap w:val="0"/>
            <w:vAlign w:val="center"/>
          </w:tcPr>
          <w:p w14:paraId="191B79B7">
            <w:pPr>
              <w:keepNext w:val="0"/>
              <w:keepLines w:val="0"/>
              <w:pageBreakBefore w:val="0"/>
              <w:widowControl/>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回填</w:t>
            </w:r>
          </w:p>
        </w:tc>
        <w:tc>
          <w:tcPr>
            <w:tcW w:w="6176" w:type="dxa"/>
            <w:tcBorders>
              <w:top w:val="single" w:color="auto" w:sz="4" w:space="0"/>
              <w:left w:val="nil"/>
              <w:bottom w:val="single" w:color="auto" w:sz="4" w:space="0"/>
              <w:right w:val="single" w:color="auto" w:sz="4" w:space="0"/>
            </w:tcBorders>
            <w:shd w:val="clear" w:color="auto" w:fill="FFFFFF"/>
            <w:noWrap w:val="0"/>
            <w:vAlign w:val="center"/>
          </w:tcPr>
          <w:p w14:paraId="5524957D">
            <w:pPr>
              <w:keepNext w:val="0"/>
              <w:keepLines w:val="0"/>
              <w:pageBreakBefore w:val="0"/>
              <w:widowControl/>
              <w:numPr>
                <w:ilvl w:val="0"/>
                <w:numId w:val="31"/>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回填材料：砂石，可取原开挖土方；</w:t>
            </w:r>
          </w:p>
          <w:p w14:paraId="20027915">
            <w:pPr>
              <w:keepNext w:val="0"/>
              <w:keepLines w:val="0"/>
              <w:pageBreakBefore w:val="0"/>
              <w:widowControl/>
              <w:numPr>
                <w:ilvl w:val="0"/>
                <w:numId w:val="31"/>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压实度标准：压实度≥93%；</w:t>
            </w:r>
          </w:p>
          <w:p w14:paraId="38A3FDF3">
            <w:pPr>
              <w:keepNext w:val="0"/>
              <w:keepLines w:val="0"/>
              <w:pageBreakBefore w:val="0"/>
              <w:widowControl/>
              <w:numPr>
                <w:ilvl w:val="0"/>
                <w:numId w:val="31"/>
              </w:numPr>
              <w:kinsoku/>
              <w:wordWrap/>
              <w:overflowPunct/>
              <w:topLinePunct w:val="0"/>
              <w:autoSpaceDE/>
              <w:autoSpaceDN/>
              <w:bidi w:val="0"/>
              <w:adjustRightInd/>
              <w:snapToGrid/>
              <w:spacing w:line="340" w:lineRule="exact"/>
              <w:textAlignment w:val="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工程量为暂估工程量，最终结算按实际工程量为准。</w:t>
            </w:r>
          </w:p>
        </w:tc>
        <w:tc>
          <w:tcPr>
            <w:tcW w:w="775" w:type="dxa"/>
            <w:tcBorders>
              <w:top w:val="single" w:color="auto" w:sz="4" w:space="0"/>
              <w:left w:val="nil"/>
              <w:bottom w:val="single" w:color="auto" w:sz="4" w:space="0"/>
              <w:right w:val="single" w:color="auto" w:sz="4" w:space="0"/>
            </w:tcBorders>
            <w:shd w:val="clear" w:color="auto" w:fill="FFFFFF"/>
            <w:noWrap w:val="0"/>
            <w:vAlign w:val="center"/>
          </w:tcPr>
          <w:p w14:paraId="66C7603A">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cs="宋体"/>
                <w:color w:val="000000"/>
                <w:kern w:val="0"/>
                <w:sz w:val="24"/>
                <w:szCs w:val="24"/>
                <w:lang w:val="en-US" w:eastAsia="zh-CN"/>
              </w:rPr>
            </w:pPr>
            <w:r>
              <w:rPr>
                <w:rFonts w:hint="eastAsia" w:ascii="宋体" w:hAnsi="宋体" w:cs="宋体"/>
                <w:color w:val="000000"/>
                <w:kern w:val="0"/>
                <w:sz w:val="24"/>
                <w:szCs w:val="24"/>
              </w:rPr>
              <w:t>m</w:t>
            </w:r>
            <w:r>
              <w:rPr>
                <w:rFonts w:hint="eastAsia" w:ascii="宋体" w:hAnsi="宋体" w:cs="宋体"/>
                <w:color w:val="000000"/>
                <w:kern w:val="0"/>
                <w:sz w:val="24"/>
                <w:szCs w:val="24"/>
                <w:vertAlign w:val="superscript"/>
              </w:rPr>
              <w:t>3</w:t>
            </w:r>
          </w:p>
        </w:tc>
        <w:tc>
          <w:tcPr>
            <w:tcW w:w="962" w:type="dxa"/>
            <w:tcBorders>
              <w:top w:val="single" w:color="auto" w:sz="4" w:space="0"/>
              <w:left w:val="nil"/>
              <w:bottom w:val="single" w:color="auto" w:sz="4" w:space="0"/>
              <w:right w:val="single" w:color="auto" w:sz="4" w:space="0"/>
            </w:tcBorders>
            <w:shd w:val="clear" w:color="auto" w:fill="FFFFFF"/>
            <w:noWrap w:val="0"/>
            <w:vAlign w:val="center"/>
          </w:tcPr>
          <w:p w14:paraId="2D54777D">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000000"/>
                <w:kern w:val="0"/>
                <w:sz w:val="24"/>
                <w:szCs w:val="24"/>
                <w:lang w:val="en-US" w:eastAsia="zh-CN"/>
              </w:rPr>
            </w:pPr>
            <w:r>
              <w:rPr>
                <w:rFonts w:hint="eastAsia" w:ascii="宋体" w:hAnsi="宋体" w:cs="宋体"/>
                <w:color w:val="000000"/>
                <w:kern w:val="0"/>
                <w:sz w:val="24"/>
                <w:szCs w:val="24"/>
                <w:lang w:val="en-US" w:eastAsia="zh-CN"/>
              </w:rPr>
              <w:t>14.77</w:t>
            </w:r>
          </w:p>
        </w:tc>
        <w:tc>
          <w:tcPr>
            <w:tcW w:w="1538" w:type="dxa"/>
            <w:tcBorders>
              <w:top w:val="single" w:color="auto" w:sz="4" w:space="0"/>
              <w:left w:val="nil"/>
              <w:bottom w:val="single" w:color="auto" w:sz="4" w:space="0"/>
              <w:right w:val="single" w:color="auto" w:sz="4" w:space="0"/>
            </w:tcBorders>
            <w:shd w:val="clear" w:color="auto" w:fill="FFFFFF"/>
            <w:noWrap w:val="0"/>
            <w:vAlign w:val="center"/>
          </w:tcPr>
          <w:p w14:paraId="6BF73FF1">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kern w:val="0"/>
                <w:sz w:val="24"/>
                <w:szCs w:val="24"/>
                <w:lang w:val="en-US" w:eastAsia="zh-CN" w:bidi="ar-SA"/>
              </w:rPr>
            </w:pPr>
          </w:p>
        </w:tc>
        <w:tc>
          <w:tcPr>
            <w:tcW w:w="1241" w:type="dxa"/>
            <w:tcBorders>
              <w:top w:val="single" w:color="auto" w:sz="4" w:space="0"/>
              <w:left w:val="nil"/>
              <w:bottom w:val="single" w:color="auto" w:sz="4" w:space="0"/>
              <w:right w:val="single" w:color="auto" w:sz="4" w:space="0"/>
            </w:tcBorders>
            <w:shd w:val="clear" w:color="auto" w:fill="FFFFFF"/>
            <w:noWrap w:val="0"/>
            <w:vAlign w:val="center"/>
          </w:tcPr>
          <w:p w14:paraId="6C9E119C">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nil"/>
              <w:bottom w:val="single" w:color="auto" w:sz="4" w:space="0"/>
              <w:right w:val="single" w:color="auto" w:sz="4" w:space="0"/>
            </w:tcBorders>
            <w:shd w:val="clear" w:color="auto" w:fill="FFFFFF"/>
            <w:noWrap w:val="0"/>
            <w:vAlign w:val="center"/>
          </w:tcPr>
          <w:p w14:paraId="382876F0">
            <w:pPr>
              <w:keepNext w:val="0"/>
              <w:keepLines w:val="0"/>
              <w:pageBreakBefore w:val="0"/>
              <w:widowControl/>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000000"/>
                <w:sz w:val="24"/>
                <w:szCs w:val="24"/>
                <w:lang w:val="en-US" w:eastAsia="zh-CN"/>
              </w:rPr>
            </w:pPr>
          </w:p>
        </w:tc>
      </w:tr>
      <w:tr w14:paraId="623DB24F">
        <w:tblPrEx>
          <w:tblCellMar>
            <w:top w:w="0" w:type="dxa"/>
            <w:left w:w="108" w:type="dxa"/>
            <w:bottom w:w="0" w:type="dxa"/>
            <w:right w:w="108" w:type="dxa"/>
          </w:tblCellMar>
        </w:tblPrEx>
        <w:trPr>
          <w:trHeight w:val="633" w:hRule="atLeast"/>
          <w:jc w:val="center"/>
        </w:trPr>
        <w:tc>
          <w:tcPr>
            <w:tcW w:w="12604" w:type="dxa"/>
            <w:gridSpan w:val="6"/>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A1F3A5">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eastAsia="宋体" w:cs="宋体"/>
                <w:color w:val="000000"/>
                <w:sz w:val="24"/>
                <w:szCs w:val="24"/>
                <w:lang w:val="en-US" w:eastAsia="zh-CN"/>
              </w:rPr>
            </w:pPr>
            <w:r>
              <w:rPr>
                <w:rFonts w:hint="eastAsia" w:ascii="宋体" w:hAnsi="宋体" w:cs="宋体"/>
                <w:b/>
                <w:color w:val="000000"/>
                <w:kern w:val="0"/>
                <w:sz w:val="24"/>
                <w:szCs w:val="24"/>
                <w:lang w:val="en-US" w:eastAsia="zh-CN"/>
              </w:rPr>
              <w:t>总价</w:t>
            </w:r>
            <w:r>
              <w:rPr>
                <w:rFonts w:hint="eastAsia" w:ascii="宋体" w:hAnsi="宋体" w:cs="宋体"/>
                <w:b/>
                <w:color w:val="000000"/>
                <w:kern w:val="0"/>
                <w:sz w:val="24"/>
                <w:szCs w:val="24"/>
              </w:rPr>
              <w:t>合计</w:t>
            </w:r>
            <w:r>
              <w:rPr>
                <w:rFonts w:hint="eastAsia" w:ascii="宋体" w:hAnsi="宋体" w:cs="宋体"/>
                <w:b/>
                <w:color w:val="000000"/>
                <w:kern w:val="0"/>
                <w:sz w:val="24"/>
                <w:szCs w:val="24"/>
                <w:lang w:eastAsia="zh-CN"/>
              </w:rPr>
              <w:t>（</w:t>
            </w:r>
            <w:r>
              <w:rPr>
                <w:rFonts w:hint="eastAsia" w:ascii="宋体" w:hAnsi="宋体" w:cs="宋体"/>
                <w:b/>
                <w:color w:val="000000"/>
                <w:kern w:val="0"/>
                <w:sz w:val="24"/>
                <w:szCs w:val="24"/>
                <w:lang w:val="en-US" w:eastAsia="zh-CN"/>
              </w:rPr>
              <w:t>含x%增值税</w:t>
            </w:r>
            <w:r>
              <w:rPr>
                <w:rFonts w:hint="eastAsia" w:ascii="宋体" w:hAnsi="宋体" w:cs="宋体"/>
                <w:b/>
                <w:color w:val="000000"/>
                <w:kern w:val="0"/>
                <w:sz w:val="24"/>
                <w:szCs w:val="24"/>
                <w:lang w:eastAsia="zh-CN"/>
              </w:rPr>
              <w:t>）</w:t>
            </w:r>
          </w:p>
        </w:tc>
        <w:tc>
          <w:tcPr>
            <w:tcW w:w="124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EA6AB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eastAsia="宋体" w:cs="宋体"/>
                <w:color w:val="000000"/>
                <w:sz w:val="24"/>
                <w:szCs w:val="24"/>
                <w:lang w:val="en-US" w:eastAsia="zh-CN"/>
              </w:rPr>
            </w:pPr>
          </w:p>
        </w:tc>
        <w:tc>
          <w:tcPr>
            <w:tcW w:w="7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A132B0">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宋体" w:hAnsi="宋体" w:eastAsia="宋体" w:cs="宋体"/>
                <w:color w:val="000000"/>
                <w:sz w:val="24"/>
                <w:szCs w:val="24"/>
                <w:lang w:val="en-US" w:eastAsia="zh-CN"/>
              </w:rPr>
            </w:pPr>
          </w:p>
        </w:tc>
      </w:tr>
    </w:tbl>
    <w:p w14:paraId="18F14947">
      <w:pPr>
        <w:pStyle w:val="10"/>
        <w:widowControl/>
        <w:spacing w:before="0" w:beforeAutospacing="0" w:after="0" w:afterAutospacing="0" w:line="560" w:lineRule="exact"/>
        <w:ind w:firstLine="640" w:firstLineChars="200"/>
        <w:rPr>
          <w:rFonts w:hint="eastAsia" w:ascii="仿宋" w:hAnsi="仿宋" w:eastAsia="仿宋"/>
          <w:sz w:val="32"/>
          <w:szCs w:val="32"/>
        </w:rPr>
      </w:pPr>
      <w:r>
        <w:rPr>
          <w:rFonts w:hint="eastAsia" w:ascii="仿宋" w:hAnsi="仿宋" w:eastAsia="仿宋"/>
          <w:sz w:val="32"/>
          <w:szCs w:val="32"/>
        </w:rPr>
        <w:t xml:space="preserve">报价有效期限：    </w:t>
      </w:r>
      <w:r>
        <w:rPr>
          <w:rFonts w:ascii="仿宋" w:hAnsi="仿宋" w:eastAsia="仿宋"/>
          <w:sz w:val="32"/>
          <w:szCs w:val="32"/>
        </w:rPr>
        <w:t xml:space="preserve"> </w:t>
      </w:r>
      <w:r>
        <w:rPr>
          <w:rFonts w:hint="eastAsia" w:ascii="仿宋" w:hAnsi="仿宋" w:eastAsia="仿宋"/>
          <w:sz w:val="32"/>
          <w:szCs w:val="32"/>
        </w:rPr>
        <w:t xml:space="preserve">年 </w:t>
      </w:r>
      <w:r>
        <w:rPr>
          <w:rFonts w:ascii="仿宋" w:hAnsi="仿宋" w:eastAsia="仿宋"/>
          <w:sz w:val="32"/>
          <w:szCs w:val="32"/>
        </w:rPr>
        <w:t xml:space="preserve"> </w:t>
      </w:r>
      <w:r>
        <w:rPr>
          <w:rFonts w:hint="eastAsia" w:ascii="仿宋" w:hAnsi="仿宋" w:eastAsia="仿宋"/>
          <w:sz w:val="32"/>
          <w:szCs w:val="32"/>
        </w:rPr>
        <w:t xml:space="preserve">月 </w:t>
      </w:r>
      <w:r>
        <w:rPr>
          <w:rFonts w:ascii="仿宋" w:hAnsi="仿宋" w:eastAsia="仿宋"/>
          <w:sz w:val="32"/>
          <w:szCs w:val="32"/>
        </w:rPr>
        <w:t xml:space="preserve"> </w:t>
      </w:r>
      <w:r>
        <w:rPr>
          <w:rFonts w:hint="eastAsia" w:ascii="仿宋" w:hAnsi="仿宋" w:eastAsia="仿宋"/>
          <w:sz w:val="32"/>
          <w:szCs w:val="32"/>
        </w:rPr>
        <w:t xml:space="preserve">日— </w:t>
      </w:r>
      <w:r>
        <w:rPr>
          <w:rFonts w:ascii="仿宋" w:hAnsi="仿宋" w:eastAsia="仿宋"/>
          <w:sz w:val="32"/>
          <w:szCs w:val="32"/>
        </w:rPr>
        <w:t xml:space="preserve">  </w:t>
      </w:r>
      <w:r>
        <w:rPr>
          <w:rFonts w:hint="eastAsia" w:ascii="仿宋" w:hAnsi="仿宋" w:eastAsia="仿宋"/>
          <w:sz w:val="32"/>
          <w:szCs w:val="32"/>
        </w:rPr>
        <w:t xml:space="preserve"> 年 </w:t>
      </w:r>
      <w:r>
        <w:rPr>
          <w:rFonts w:ascii="仿宋" w:hAnsi="仿宋" w:eastAsia="仿宋"/>
          <w:sz w:val="32"/>
          <w:szCs w:val="32"/>
        </w:rPr>
        <w:t xml:space="preserve"> </w:t>
      </w:r>
      <w:r>
        <w:rPr>
          <w:rFonts w:hint="eastAsia" w:ascii="仿宋" w:hAnsi="仿宋" w:eastAsia="仿宋"/>
          <w:sz w:val="32"/>
          <w:szCs w:val="32"/>
        </w:rPr>
        <w:t xml:space="preserve">月 </w:t>
      </w:r>
      <w:r>
        <w:rPr>
          <w:rFonts w:ascii="仿宋" w:hAnsi="仿宋" w:eastAsia="仿宋"/>
          <w:sz w:val="32"/>
          <w:szCs w:val="32"/>
        </w:rPr>
        <w:t xml:space="preserve"> </w:t>
      </w:r>
      <w:r>
        <w:rPr>
          <w:rFonts w:hint="eastAsia" w:ascii="仿宋" w:hAnsi="仿宋" w:eastAsia="仿宋"/>
          <w:sz w:val="32"/>
          <w:szCs w:val="32"/>
        </w:rPr>
        <w:t>日。</w:t>
      </w:r>
    </w:p>
    <w:p w14:paraId="3D7F2676">
      <w:pPr>
        <w:spacing w:line="560" w:lineRule="exact"/>
        <w:ind w:firstLine="640" w:firstLineChars="200"/>
        <w:rPr>
          <w:rFonts w:ascii="仿宋" w:hAnsi="仿宋" w:eastAsia="仿宋"/>
        </w:rPr>
      </w:pPr>
      <w:r>
        <w:rPr>
          <w:rFonts w:hint="eastAsia" w:ascii="仿宋" w:hAnsi="仿宋" w:eastAsia="仿宋"/>
          <w:sz w:val="32"/>
          <w:szCs w:val="32"/>
        </w:rPr>
        <w:t>我单位已知悉询价</w:t>
      </w:r>
      <w:r>
        <w:rPr>
          <w:rFonts w:hint="eastAsia" w:ascii="仿宋" w:hAnsi="仿宋" w:eastAsia="仿宋"/>
          <w:sz w:val="32"/>
          <w:szCs w:val="32"/>
          <w:lang w:val="en-US" w:eastAsia="zh-CN"/>
        </w:rPr>
        <w:t>文件</w:t>
      </w:r>
      <w:r>
        <w:rPr>
          <w:rFonts w:hint="eastAsia" w:ascii="仿宋" w:hAnsi="仿宋" w:eastAsia="仿宋"/>
          <w:sz w:val="32"/>
          <w:szCs w:val="32"/>
        </w:rPr>
        <w:t>中有关权利义务条款。若成交，将严格执行文件中相关要求。</w:t>
      </w:r>
    </w:p>
    <w:p w14:paraId="67BD4BC3">
      <w:pPr>
        <w:spacing w:line="560" w:lineRule="exact"/>
        <w:jc w:val="center"/>
        <w:rPr>
          <w:rFonts w:ascii="仿宋" w:hAnsi="仿宋" w:eastAsia="仿宋"/>
          <w:sz w:val="32"/>
          <w:szCs w:val="32"/>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报价</w:t>
      </w:r>
      <w:r>
        <w:rPr>
          <w:rFonts w:hint="eastAsia" w:ascii="仿宋" w:hAnsi="仿宋" w:eastAsia="仿宋"/>
          <w:sz w:val="32"/>
          <w:szCs w:val="32"/>
          <w:lang w:val="en-US" w:eastAsia="zh-CN"/>
        </w:rPr>
        <w:t>人</w:t>
      </w:r>
      <w:r>
        <w:rPr>
          <w:rFonts w:hint="eastAsia" w:ascii="仿宋" w:hAnsi="仿宋" w:eastAsia="仿宋"/>
          <w:sz w:val="32"/>
          <w:szCs w:val="32"/>
        </w:rPr>
        <w:t>（签章）：</w:t>
      </w:r>
      <w:r>
        <w:rPr>
          <w:rFonts w:ascii="仿宋" w:hAnsi="仿宋" w:eastAsia="仿宋"/>
          <w:sz w:val="32"/>
          <w:szCs w:val="32"/>
        </w:rPr>
        <w:t xml:space="preserve"> </w:t>
      </w:r>
    </w:p>
    <w:p w14:paraId="2F1C01A1">
      <w:pPr>
        <w:spacing w:line="560" w:lineRule="exact"/>
        <w:jc w:val="center"/>
        <w:rPr>
          <w:rFonts w:hint="eastAsia" w:ascii="仿宋" w:hAnsi="仿宋" w:eastAsia="仿宋"/>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报价时间：   年   月  日</w:t>
      </w:r>
    </w:p>
    <w:p w14:paraId="6E784E4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rPr>
      </w:pPr>
    </w:p>
    <w:sectPr>
      <w:pgSz w:w="16838" w:h="11906" w:orient="landscape"/>
      <w:pgMar w:top="850" w:right="1327" w:bottom="850" w:left="1213"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6738350"/>
      <w:docPartObj>
        <w:docPartGallery w:val="autotext"/>
      </w:docPartObj>
    </w:sdtPr>
    <w:sdtEndPr>
      <w:rPr>
        <w:rFonts w:ascii="仿宋" w:hAnsi="仿宋" w:eastAsia="仿宋"/>
        <w:sz w:val="28"/>
        <w:szCs w:val="28"/>
      </w:rPr>
    </w:sdtEndPr>
    <w:sdtContent>
      <w:p w14:paraId="60F549D1">
        <w:pPr>
          <w:pStyle w:val="6"/>
          <w:rPr>
            <w:rFonts w:ascii="仿宋" w:hAnsi="仿宋" w:eastAsia="仿宋"/>
            <w:sz w:val="28"/>
            <w:szCs w:val="28"/>
          </w:rPr>
        </w:pPr>
        <w:r>
          <w:rPr>
            <w:rFonts w:ascii="仿宋" w:hAnsi="仿宋" w:eastAsia="仿宋"/>
            <w:sz w:val="28"/>
            <w:szCs w:val="28"/>
          </w:rPr>
          <w:fldChar w:fldCharType="begin"/>
        </w:r>
        <w:r>
          <w:rPr>
            <w:rFonts w:ascii="仿宋" w:hAnsi="仿宋" w:eastAsia="仿宋"/>
            <w:sz w:val="28"/>
            <w:szCs w:val="28"/>
          </w:rPr>
          <w:instrText xml:space="preserve">PAGE   \* MERGEFORMAT</w:instrText>
        </w:r>
        <w:r>
          <w:rPr>
            <w:rFonts w:ascii="仿宋" w:hAnsi="仿宋" w:eastAsia="仿宋"/>
            <w:sz w:val="28"/>
            <w:szCs w:val="28"/>
          </w:rPr>
          <w:fldChar w:fldCharType="separate"/>
        </w:r>
        <w:r>
          <w:rPr>
            <w:rFonts w:ascii="仿宋" w:hAnsi="仿宋" w:eastAsia="仿宋"/>
            <w:sz w:val="28"/>
            <w:szCs w:val="28"/>
            <w:lang w:val="zh-CN"/>
          </w:rPr>
          <w:t>2</w:t>
        </w:r>
        <w:r>
          <w:rPr>
            <w:rFonts w:ascii="仿宋" w:hAnsi="仿宋" w:eastAsia="仿宋"/>
            <w:sz w:val="28"/>
            <w:szCs w:val="28"/>
          </w:rPr>
          <w:fldChar w:fldCharType="end"/>
        </w:r>
      </w:p>
    </w:sdtContent>
  </w:sdt>
  <w:p w14:paraId="3948E19F">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2A63">
    <w:pPr>
      <w:pStyle w:val="6"/>
      <w:jc w:val="right"/>
    </w:pPr>
  </w:p>
  <w:p w14:paraId="55CA451B">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D31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15891">
                          <w:pPr>
                            <w:pStyle w:val="6"/>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7315891">
                    <w:pPr>
                      <w:pStyle w:val="6"/>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- 1 -</w:t>
                    </w:r>
                    <w:r>
                      <w:rPr>
                        <w:sz w:val="24"/>
                        <w:szCs w:val="24"/>
                      </w:rP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FF1BA">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0772B4"/>
    <w:multiLevelType w:val="singleLevel"/>
    <w:tmpl w:val="810772B4"/>
    <w:lvl w:ilvl="0" w:tentative="0">
      <w:start w:val="1"/>
      <w:numFmt w:val="decimal"/>
      <w:lvlText w:val="%1."/>
      <w:lvlJc w:val="left"/>
      <w:pPr>
        <w:tabs>
          <w:tab w:val="left" w:pos="312"/>
        </w:tabs>
      </w:pPr>
    </w:lvl>
  </w:abstractNum>
  <w:abstractNum w:abstractNumId="1">
    <w:nsid w:val="8756AEE0"/>
    <w:multiLevelType w:val="singleLevel"/>
    <w:tmpl w:val="8756AEE0"/>
    <w:lvl w:ilvl="0" w:tentative="0">
      <w:start w:val="1"/>
      <w:numFmt w:val="decimal"/>
      <w:lvlText w:val="%1."/>
      <w:lvlJc w:val="left"/>
      <w:pPr>
        <w:tabs>
          <w:tab w:val="left" w:pos="312"/>
        </w:tabs>
      </w:pPr>
    </w:lvl>
  </w:abstractNum>
  <w:abstractNum w:abstractNumId="2">
    <w:nsid w:val="89A50172"/>
    <w:multiLevelType w:val="singleLevel"/>
    <w:tmpl w:val="89A50172"/>
    <w:lvl w:ilvl="0" w:tentative="0">
      <w:start w:val="1"/>
      <w:numFmt w:val="decimal"/>
      <w:lvlText w:val="%1."/>
      <w:lvlJc w:val="left"/>
      <w:pPr>
        <w:tabs>
          <w:tab w:val="left" w:pos="312"/>
        </w:tabs>
      </w:pPr>
    </w:lvl>
  </w:abstractNum>
  <w:abstractNum w:abstractNumId="3">
    <w:nsid w:val="8B05EC7F"/>
    <w:multiLevelType w:val="singleLevel"/>
    <w:tmpl w:val="8B05EC7F"/>
    <w:lvl w:ilvl="0" w:tentative="0">
      <w:start w:val="1"/>
      <w:numFmt w:val="decimal"/>
      <w:lvlText w:val="%1."/>
      <w:lvlJc w:val="left"/>
      <w:pPr>
        <w:tabs>
          <w:tab w:val="left" w:pos="312"/>
        </w:tabs>
      </w:pPr>
    </w:lvl>
  </w:abstractNum>
  <w:abstractNum w:abstractNumId="4">
    <w:nsid w:val="8EF3220D"/>
    <w:multiLevelType w:val="singleLevel"/>
    <w:tmpl w:val="8EF3220D"/>
    <w:lvl w:ilvl="0" w:tentative="0">
      <w:start w:val="1"/>
      <w:numFmt w:val="decimal"/>
      <w:lvlText w:val="%1."/>
      <w:lvlJc w:val="left"/>
      <w:pPr>
        <w:tabs>
          <w:tab w:val="left" w:pos="312"/>
        </w:tabs>
      </w:pPr>
    </w:lvl>
  </w:abstractNum>
  <w:abstractNum w:abstractNumId="5">
    <w:nsid w:val="92261565"/>
    <w:multiLevelType w:val="singleLevel"/>
    <w:tmpl w:val="92261565"/>
    <w:lvl w:ilvl="0" w:tentative="0">
      <w:start w:val="1"/>
      <w:numFmt w:val="decimal"/>
      <w:lvlText w:val="%1."/>
      <w:lvlJc w:val="left"/>
      <w:pPr>
        <w:tabs>
          <w:tab w:val="left" w:pos="312"/>
        </w:tabs>
      </w:pPr>
    </w:lvl>
  </w:abstractNum>
  <w:abstractNum w:abstractNumId="6">
    <w:nsid w:val="976DBBF4"/>
    <w:multiLevelType w:val="singleLevel"/>
    <w:tmpl w:val="976DBBF4"/>
    <w:lvl w:ilvl="0" w:tentative="0">
      <w:start w:val="1"/>
      <w:numFmt w:val="decimal"/>
      <w:lvlText w:val="%1."/>
      <w:lvlJc w:val="left"/>
      <w:pPr>
        <w:tabs>
          <w:tab w:val="left" w:pos="312"/>
        </w:tabs>
      </w:pPr>
    </w:lvl>
  </w:abstractNum>
  <w:abstractNum w:abstractNumId="7">
    <w:nsid w:val="9CB71398"/>
    <w:multiLevelType w:val="singleLevel"/>
    <w:tmpl w:val="9CB71398"/>
    <w:lvl w:ilvl="0" w:tentative="0">
      <w:start w:val="1"/>
      <w:numFmt w:val="decimal"/>
      <w:lvlText w:val="%1."/>
      <w:lvlJc w:val="left"/>
      <w:pPr>
        <w:tabs>
          <w:tab w:val="left" w:pos="312"/>
        </w:tabs>
      </w:pPr>
    </w:lvl>
  </w:abstractNum>
  <w:abstractNum w:abstractNumId="8">
    <w:nsid w:val="A0EBA6DC"/>
    <w:multiLevelType w:val="singleLevel"/>
    <w:tmpl w:val="A0EBA6DC"/>
    <w:lvl w:ilvl="0" w:tentative="0">
      <w:start w:val="1"/>
      <w:numFmt w:val="decimal"/>
      <w:lvlText w:val="%1."/>
      <w:lvlJc w:val="left"/>
      <w:pPr>
        <w:tabs>
          <w:tab w:val="left" w:pos="312"/>
        </w:tabs>
      </w:pPr>
    </w:lvl>
  </w:abstractNum>
  <w:abstractNum w:abstractNumId="9">
    <w:nsid w:val="C00268BD"/>
    <w:multiLevelType w:val="singleLevel"/>
    <w:tmpl w:val="C00268BD"/>
    <w:lvl w:ilvl="0" w:tentative="0">
      <w:start w:val="1"/>
      <w:numFmt w:val="decimal"/>
      <w:lvlText w:val="%1."/>
      <w:lvlJc w:val="left"/>
      <w:pPr>
        <w:tabs>
          <w:tab w:val="left" w:pos="312"/>
        </w:tabs>
      </w:pPr>
    </w:lvl>
  </w:abstractNum>
  <w:abstractNum w:abstractNumId="10">
    <w:nsid w:val="C8920B77"/>
    <w:multiLevelType w:val="singleLevel"/>
    <w:tmpl w:val="C8920B77"/>
    <w:lvl w:ilvl="0" w:tentative="0">
      <w:start w:val="1"/>
      <w:numFmt w:val="decimal"/>
      <w:lvlText w:val="%1."/>
      <w:lvlJc w:val="left"/>
      <w:pPr>
        <w:tabs>
          <w:tab w:val="left" w:pos="312"/>
        </w:tabs>
      </w:pPr>
    </w:lvl>
  </w:abstractNum>
  <w:abstractNum w:abstractNumId="11">
    <w:nsid w:val="CF6857D8"/>
    <w:multiLevelType w:val="singleLevel"/>
    <w:tmpl w:val="CF6857D8"/>
    <w:lvl w:ilvl="0" w:tentative="0">
      <w:start w:val="1"/>
      <w:numFmt w:val="decimal"/>
      <w:lvlText w:val="%1."/>
      <w:lvlJc w:val="left"/>
      <w:pPr>
        <w:tabs>
          <w:tab w:val="left" w:pos="312"/>
        </w:tabs>
      </w:pPr>
    </w:lvl>
  </w:abstractNum>
  <w:abstractNum w:abstractNumId="12">
    <w:nsid w:val="DB428DF3"/>
    <w:multiLevelType w:val="singleLevel"/>
    <w:tmpl w:val="DB428DF3"/>
    <w:lvl w:ilvl="0" w:tentative="0">
      <w:start w:val="1"/>
      <w:numFmt w:val="decimal"/>
      <w:lvlText w:val="%1."/>
      <w:lvlJc w:val="left"/>
      <w:pPr>
        <w:tabs>
          <w:tab w:val="left" w:pos="312"/>
        </w:tabs>
      </w:pPr>
    </w:lvl>
  </w:abstractNum>
  <w:abstractNum w:abstractNumId="13">
    <w:nsid w:val="DC99A434"/>
    <w:multiLevelType w:val="singleLevel"/>
    <w:tmpl w:val="DC99A434"/>
    <w:lvl w:ilvl="0" w:tentative="0">
      <w:start w:val="1"/>
      <w:numFmt w:val="decimal"/>
      <w:lvlText w:val="%1."/>
      <w:lvlJc w:val="left"/>
      <w:pPr>
        <w:tabs>
          <w:tab w:val="left" w:pos="312"/>
        </w:tabs>
      </w:pPr>
    </w:lvl>
  </w:abstractNum>
  <w:abstractNum w:abstractNumId="14">
    <w:nsid w:val="DEDCC0AC"/>
    <w:multiLevelType w:val="singleLevel"/>
    <w:tmpl w:val="DEDCC0AC"/>
    <w:lvl w:ilvl="0" w:tentative="0">
      <w:start w:val="1"/>
      <w:numFmt w:val="decimal"/>
      <w:lvlText w:val="%1."/>
      <w:lvlJc w:val="left"/>
      <w:pPr>
        <w:tabs>
          <w:tab w:val="left" w:pos="312"/>
        </w:tabs>
      </w:pPr>
    </w:lvl>
  </w:abstractNum>
  <w:abstractNum w:abstractNumId="15">
    <w:nsid w:val="DF7270DD"/>
    <w:multiLevelType w:val="singleLevel"/>
    <w:tmpl w:val="DF7270DD"/>
    <w:lvl w:ilvl="0" w:tentative="0">
      <w:start w:val="1"/>
      <w:numFmt w:val="decimal"/>
      <w:lvlText w:val="%1."/>
      <w:lvlJc w:val="left"/>
      <w:pPr>
        <w:tabs>
          <w:tab w:val="left" w:pos="312"/>
        </w:tabs>
      </w:pPr>
    </w:lvl>
  </w:abstractNum>
  <w:abstractNum w:abstractNumId="16">
    <w:nsid w:val="E38D1DFF"/>
    <w:multiLevelType w:val="singleLevel"/>
    <w:tmpl w:val="E38D1DFF"/>
    <w:lvl w:ilvl="0" w:tentative="0">
      <w:start w:val="1"/>
      <w:numFmt w:val="decimal"/>
      <w:lvlText w:val="%1."/>
      <w:lvlJc w:val="left"/>
      <w:pPr>
        <w:tabs>
          <w:tab w:val="left" w:pos="312"/>
        </w:tabs>
      </w:pPr>
    </w:lvl>
  </w:abstractNum>
  <w:abstractNum w:abstractNumId="17">
    <w:nsid w:val="E6957E20"/>
    <w:multiLevelType w:val="singleLevel"/>
    <w:tmpl w:val="E6957E20"/>
    <w:lvl w:ilvl="0" w:tentative="0">
      <w:start w:val="1"/>
      <w:numFmt w:val="decimal"/>
      <w:lvlText w:val="%1."/>
      <w:lvlJc w:val="left"/>
      <w:pPr>
        <w:tabs>
          <w:tab w:val="left" w:pos="312"/>
        </w:tabs>
      </w:pPr>
    </w:lvl>
  </w:abstractNum>
  <w:abstractNum w:abstractNumId="18">
    <w:nsid w:val="FD0BA2C0"/>
    <w:multiLevelType w:val="singleLevel"/>
    <w:tmpl w:val="FD0BA2C0"/>
    <w:lvl w:ilvl="0" w:tentative="0">
      <w:start w:val="1"/>
      <w:numFmt w:val="decimal"/>
      <w:lvlText w:val="%1."/>
      <w:lvlJc w:val="left"/>
      <w:pPr>
        <w:tabs>
          <w:tab w:val="left" w:pos="312"/>
        </w:tabs>
      </w:pPr>
    </w:lvl>
  </w:abstractNum>
  <w:abstractNum w:abstractNumId="19">
    <w:nsid w:val="05B8F5EB"/>
    <w:multiLevelType w:val="singleLevel"/>
    <w:tmpl w:val="05B8F5EB"/>
    <w:lvl w:ilvl="0" w:tentative="0">
      <w:start w:val="1"/>
      <w:numFmt w:val="chineseCounting"/>
      <w:suff w:val="nothing"/>
      <w:lvlText w:val="%1、"/>
      <w:lvlJc w:val="left"/>
      <w:rPr>
        <w:rFonts w:hint="eastAsia" w:ascii="黑体" w:hAnsi="黑体" w:eastAsia="黑体" w:cs="黑体"/>
        <w:b/>
        <w:bCs/>
        <w:sz w:val="24"/>
        <w:szCs w:val="24"/>
      </w:rPr>
    </w:lvl>
  </w:abstractNum>
  <w:abstractNum w:abstractNumId="20">
    <w:nsid w:val="0F59A5FA"/>
    <w:multiLevelType w:val="singleLevel"/>
    <w:tmpl w:val="0F59A5FA"/>
    <w:lvl w:ilvl="0" w:tentative="0">
      <w:start w:val="1"/>
      <w:numFmt w:val="decimal"/>
      <w:lvlText w:val="%1."/>
      <w:lvlJc w:val="left"/>
      <w:pPr>
        <w:tabs>
          <w:tab w:val="left" w:pos="312"/>
        </w:tabs>
      </w:pPr>
    </w:lvl>
  </w:abstractNum>
  <w:abstractNum w:abstractNumId="21">
    <w:nsid w:val="1FFB25C8"/>
    <w:multiLevelType w:val="singleLevel"/>
    <w:tmpl w:val="1FFB25C8"/>
    <w:lvl w:ilvl="0" w:tentative="0">
      <w:start w:val="1"/>
      <w:numFmt w:val="decimal"/>
      <w:lvlText w:val="%1."/>
      <w:lvlJc w:val="left"/>
      <w:pPr>
        <w:tabs>
          <w:tab w:val="left" w:pos="312"/>
        </w:tabs>
      </w:pPr>
    </w:lvl>
  </w:abstractNum>
  <w:abstractNum w:abstractNumId="22">
    <w:nsid w:val="23A0F275"/>
    <w:multiLevelType w:val="singleLevel"/>
    <w:tmpl w:val="23A0F275"/>
    <w:lvl w:ilvl="0" w:tentative="0">
      <w:start w:val="1"/>
      <w:numFmt w:val="decimal"/>
      <w:lvlText w:val="%1."/>
      <w:lvlJc w:val="left"/>
      <w:pPr>
        <w:tabs>
          <w:tab w:val="left" w:pos="312"/>
        </w:tabs>
      </w:pPr>
    </w:lvl>
  </w:abstractNum>
  <w:abstractNum w:abstractNumId="23">
    <w:nsid w:val="23B0B6F8"/>
    <w:multiLevelType w:val="singleLevel"/>
    <w:tmpl w:val="23B0B6F8"/>
    <w:lvl w:ilvl="0" w:tentative="0">
      <w:start w:val="1"/>
      <w:numFmt w:val="decimal"/>
      <w:lvlText w:val="%1."/>
      <w:lvlJc w:val="left"/>
      <w:pPr>
        <w:tabs>
          <w:tab w:val="left" w:pos="312"/>
        </w:tabs>
      </w:pPr>
    </w:lvl>
  </w:abstractNum>
  <w:abstractNum w:abstractNumId="24">
    <w:nsid w:val="2897435D"/>
    <w:multiLevelType w:val="singleLevel"/>
    <w:tmpl w:val="2897435D"/>
    <w:lvl w:ilvl="0" w:tentative="0">
      <w:start w:val="1"/>
      <w:numFmt w:val="decimal"/>
      <w:lvlText w:val="%1."/>
      <w:lvlJc w:val="left"/>
      <w:pPr>
        <w:tabs>
          <w:tab w:val="left" w:pos="312"/>
        </w:tabs>
      </w:pPr>
    </w:lvl>
  </w:abstractNum>
  <w:abstractNum w:abstractNumId="25">
    <w:nsid w:val="353A720E"/>
    <w:multiLevelType w:val="singleLevel"/>
    <w:tmpl w:val="353A720E"/>
    <w:lvl w:ilvl="0" w:tentative="0">
      <w:start w:val="1"/>
      <w:numFmt w:val="decimal"/>
      <w:lvlText w:val="%1."/>
      <w:lvlJc w:val="left"/>
      <w:pPr>
        <w:tabs>
          <w:tab w:val="left" w:pos="312"/>
        </w:tabs>
      </w:pPr>
    </w:lvl>
  </w:abstractNum>
  <w:abstractNum w:abstractNumId="26">
    <w:nsid w:val="38E979F3"/>
    <w:multiLevelType w:val="singleLevel"/>
    <w:tmpl w:val="38E979F3"/>
    <w:lvl w:ilvl="0" w:tentative="0">
      <w:start w:val="1"/>
      <w:numFmt w:val="decimal"/>
      <w:lvlText w:val="%1."/>
      <w:lvlJc w:val="left"/>
      <w:pPr>
        <w:tabs>
          <w:tab w:val="left" w:pos="312"/>
        </w:tabs>
      </w:pPr>
    </w:lvl>
  </w:abstractNum>
  <w:abstractNum w:abstractNumId="27">
    <w:nsid w:val="39E084E7"/>
    <w:multiLevelType w:val="singleLevel"/>
    <w:tmpl w:val="39E084E7"/>
    <w:lvl w:ilvl="0" w:tentative="0">
      <w:start w:val="1"/>
      <w:numFmt w:val="decimal"/>
      <w:lvlText w:val="%1."/>
      <w:lvlJc w:val="left"/>
      <w:pPr>
        <w:tabs>
          <w:tab w:val="left" w:pos="312"/>
        </w:tabs>
      </w:pPr>
    </w:lvl>
  </w:abstractNum>
  <w:abstractNum w:abstractNumId="28">
    <w:nsid w:val="4E60432B"/>
    <w:multiLevelType w:val="singleLevel"/>
    <w:tmpl w:val="4E60432B"/>
    <w:lvl w:ilvl="0" w:tentative="0">
      <w:start w:val="1"/>
      <w:numFmt w:val="decimal"/>
      <w:lvlText w:val="%1."/>
      <w:lvlJc w:val="left"/>
      <w:pPr>
        <w:tabs>
          <w:tab w:val="left" w:pos="312"/>
        </w:tabs>
      </w:pPr>
    </w:lvl>
  </w:abstractNum>
  <w:abstractNum w:abstractNumId="29">
    <w:nsid w:val="6529FAF1"/>
    <w:multiLevelType w:val="singleLevel"/>
    <w:tmpl w:val="6529FAF1"/>
    <w:lvl w:ilvl="0" w:tentative="0">
      <w:start w:val="1"/>
      <w:numFmt w:val="decimal"/>
      <w:lvlText w:val="%1."/>
      <w:lvlJc w:val="left"/>
      <w:pPr>
        <w:tabs>
          <w:tab w:val="left" w:pos="312"/>
        </w:tabs>
      </w:pPr>
    </w:lvl>
  </w:abstractNum>
  <w:abstractNum w:abstractNumId="30">
    <w:nsid w:val="6A8BF751"/>
    <w:multiLevelType w:val="singleLevel"/>
    <w:tmpl w:val="6A8BF751"/>
    <w:lvl w:ilvl="0" w:tentative="0">
      <w:start w:val="1"/>
      <w:numFmt w:val="decimal"/>
      <w:lvlText w:val="%1."/>
      <w:lvlJc w:val="left"/>
      <w:pPr>
        <w:tabs>
          <w:tab w:val="left" w:pos="312"/>
        </w:tabs>
      </w:pPr>
    </w:lvl>
  </w:abstractNum>
  <w:num w:numId="1">
    <w:abstractNumId w:val="29"/>
  </w:num>
  <w:num w:numId="2">
    <w:abstractNumId w:val="30"/>
  </w:num>
  <w:num w:numId="3">
    <w:abstractNumId w:val="28"/>
  </w:num>
  <w:num w:numId="4">
    <w:abstractNumId w:val="14"/>
  </w:num>
  <w:num w:numId="5">
    <w:abstractNumId w:val="4"/>
  </w:num>
  <w:num w:numId="6">
    <w:abstractNumId w:val="9"/>
  </w:num>
  <w:num w:numId="7">
    <w:abstractNumId w:val="13"/>
  </w:num>
  <w:num w:numId="8">
    <w:abstractNumId w:val="5"/>
  </w:num>
  <w:num w:numId="9">
    <w:abstractNumId w:val="24"/>
  </w:num>
  <w:num w:numId="10">
    <w:abstractNumId w:val="7"/>
  </w:num>
  <w:num w:numId="11">
    <w:abstractNumId w:val="19"/>
  </w:num>
  <w:num w:numId="12">
    <w:abstractNumId w:val="17"/>
  </w:num>
  <w:num w:numId="13">
    <w:abstractNumId w:val="22"/>
  </w:num>
  <w:num w:numId="14">
    <w:abstractNumId w:val="23"/>
  </w:num>
  <w:num w:numId="15">
    <w:abstractNumId w:val="2"/>
  </w:num>
  <w:num w:numId="16">
    <w:abstractNumId w:val="25"/>
  </w:num>
  <w:num w:numId="17">
    <w:abstractNumId w:val="21"/>
  </w:num>
  <w:num w:numId="18">
    <w:abstractNumId w:val="3"/>
  </w:num>
  <w:num w:numId="19">
    <w:abstractNumId w:val="1"/>
  </w:num>
  <w:num w:numId="20">
    <w:abstractNumId w:val="11"/>
  </w:num>
  <w:num w:numId="21">
    <w:abstractNumId w:val="18"/>
  </w:num>
  <w:num w:numId="22">
    <w:abstractNumId w:val="26"/>
  </w:num>
  <w:num w:numId="23">
    <w:abstractNumId w:val="20"/>
  </w:num>
  <w:num w:numId="24">
    <w:abstractNumId w:val="8"/>
  </w:num>
  <w:num w:numId="25">
    <w:abstractNumId w:val="12"/>
  </w:num>
  <w:num w:numId="26">
    <w:abstractNumId w:val="0"/>
  </w:num>
  <w:num w:numId="27">
    <w:abstractNumId w:val="15"/>
  </w:num>
  <w:num w:numId="28">
    <w:abstractNumId w:val="10"/>
  </w:num>
  <w:num w:numId="29">
    <w:abstractNumId w:val="27"/>
  </w:num>
  <w:num w:numId="30">
    <w:abstractNumId w:val="6"/>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E637B1"/>
    <w:rsid w:val="003532FE"/>
    <w:rsid w:val="00D01405"/>
    <w:rsid w:val="02063FE0"/>
    <w:rsid w:val="035B74A1"/>
    <w:rsid w:val="046E02C2"/>
    <w:rsid w:val="05376B98"/>
    <w:rsid w:val="06FA2BAB"/>
    <w:rsid w:val="070E6657"/>
    <w:rsid w:val="077E558A"/>
    <w:rsid w:val="0786516A"/>
    <w:rsid w:val="07AD5E6F"/>
    <w:rsid w:val="07D72EEC"/>
    <w:rsid w:val="088C3CD7"/>
    <w:rsid w:val="09F71624"/>
    <w:rsid w:val="0A9B6453"/>
    <w:rsid w:val="0B5605CC"/>
    <w:rsid w:val="0B756CA4"/>
    <w:rsid w:val="0BE64E92"/>
    <w:rsid w:val="0C564D28"/>
    <w:rsid w:val="0C684A5B"/>
    <w:rsid w:val="0EB9159E"/>
    <w:rsid w:val="0F3330FE"/>
    <w:rsid w:val="0FB6788B"/>
    <w:rsid w:val="0FC621C4"/>
    <w:rsid w:val="103A226A"/>
    <w:rsid w:val="10947BCD"/>
    <w:rsid w:val="111156C1"/>
    <w:rsid w:val="1158509E"/>
    <w:rsid w:val="11F12DFD"/>
    <w:rsid w:val="126A32DB"/>
    <w:rsid w:val="1299742D"/>
    <w:rsid w:val="13E637B1"/>
    <w:rsid w:val="15642F0A"/>
    <w:rsid w:val="16A56E4F"/>
    <w:rsid w:val="18716A45"/>
    <w:rsid w:val="18A24E51"/>
    <w:rsid w:val="18AB51B1"/>
    <w:rsid w:val="1A955A06"/>
    <w:rsid w:val="1B0B4F2F"/>
    <w:rsid w:val="1B245FF1"/>
    <w:rsid w:val="1CAA0778"/>
    <w:rsid w:val="1E3E386E"/>
    <w:rsid w:val="1E641526"/>
    <w:rsid w:val="1EE73F05"/>
    <w:rsid w:val="1F0E4FEE"/>
    <w:rsid w:val="1FF42436"/>
    <w:rsid w:val="212E3725"/>
    <w:rsid w:val="21DD6EFA"/>
    <w:rsid w:val="225B28E8"/>
    <w:rsid w:val="225E44DE"/>
    <w:rsid w:val="22DA144E"/>
    <w:rsid w:val="242A22D4"/>
    <w:rsid w:val="24303C58"/>
    <w:rsid w:val="25021341"/>
    <w:rsid w:val="25720B3C"/>
    <w:rsid w:val="260D24A3"/>
    <w:rsid w:val="28F9286B"/>
    <w:rsid w:val="29017971"/>
    <w:rsid w:val="29932CBF"/>
    <w:rsid w:val="29AF73CD"/>
    <w:rsid w:val="2AB7478C"/>
    <w:rsid w:val="2D542766"/>
    <w:rsid w:val="2DA37249"/>
    <w:rsid w:val="2DEB7E06"/>
    <w:rsid w:val="2E7B66E8"/>
    <w:rsid w:val="307153DD"/>
    <w:rsid w:val="308B0B94"/>
    <w:rsid w:val="30BD0622"/>
    <w:rsid w:val="30D746AF"/>
    <w:rsid w:val="3125043F"/>
    <w:rsid w:val="314D19A6"/>
    <w:rsid w:val="32BF0681"/>
    <w:rsid w:val="341C1B03"/>
    <w:rsid w:val="34525525"/>
    <w:rsid w:val="34554DB2"/>
    <w:rsid w:val="34621C0C"/>
    <w:rsid w:val="355A28E3"/>
    <w:rsid w:val="36E0506A"/>
    <w:rsid w:val="3798755C"/>
    <w:rsid w:val="383A69FC"/>
    <w:rsid w:val="3AAF722D"/>
    <w:rsid w:val="3AC56A51"/>
    <w:rsid w:val="3BC907C3"/>
    <w:rsid w:val="3BD0254D"/>
    <w:rsid w:val="3BFD221A"/>
    <w:rsid w:val="3DAC214A"/>
    <w:rsid w:val="3EC60FE9"/>
    <w:rsid w:val="3F412984"/>
    <w:rsid w:val="3F8E7D59"/>
    <w:rsid w:val="40827192"/>
    <w:rsid w:val="40F956A6"/>
    <w:rsid w:val="41083B3B"/>
    <w:rsid w:val="438D0328"/>
    <w:rsid w:val="43FB1735"/>
    <w:rsid w:val="444F4C0F"/>
    <w:rsid w:val="45CA0AFB"/>
    <w:rsid w:val="47E10C42"/>
    <w:rsid w:val="498875C7"/>
    <w:rsid w:val="4B896313"/>
    <w:rsid w:val="4BFE0015"/>
    <w:rsid w:val="4C3457E4"/>
    <w:rsid w:val="4C3C28EB"/>
    <w:rsid w:val="4C5C4D3B"/>
    <w:rsid w:val="4D383A77"/>
    <w:rsid w:val="4D8C33FE"/>
    <w:rsid w:val="4EC56BC8"/>
    <w:rsid w:val="4EF70D4B"/>
    <w:rsid w:val="4F950C90"/>
    <w:rsid w:val="504F7091"/>
    <w:rsid w:val="50B81A5E"/>
    <w:rsid w:val="50D94801"/>
    <w:rsid w:val="511A58F1"/>
    <w:rsid w:val="52302EF2"/>
    <w:rsid w:val="5233653E"/>
    <w:rsid w:val="529C0587"/>
    <w:rsid w:val="52A03091"/>
    <w:rsid w:val="52AB4326"/>
    <w:rsid w:val="55067F3A"/>
    <w:rsid w:val="55482300"/>
    <w:rsid w:val="5630526E"/>
    <w:rsid w:val="56674A08"/>
    <w:rsid w:val="56D4209E"/>
    <w:rsid w:val="57AD28EF"/>
    <w:rsid w:val="58112E7E"/>
    <w:rsid w:val="5899475A"/>
    <w:rsid w:val="59FD190B"/>
    <w:rsid w:val="5A9658BC"/>
    <w:rsid w:val="5AB628B3"/>
    <w:rsid w:val="5AC8016B"/>
    <w:rsid w:val="5AD22D98"/>
    <w:rsid w:val="5C606182"/>
    <w:rsid w:val="5DAF73C1"/>
    <w:rsid w:val="5DCA244C"/>
    <w:rsid w:val="5DF63241"/>
    <w:rsid w:val="5F5C5326"/>
    <w:rsid w:val="5FE07D05"/>
    <w:rsid w:val="60525038"/>
    <w:rsid w:val="60AE3960"/>
    <w:rsid w:val="60CE4002"/>
    <w:rsid w:val="61774699"/>
    <w:rsid w:val="61B56F70"/>
    <w:rsid w:val="61CB0541"/>
    <w:rsid w:val="61F21F72"/>
    <w:rsid w:val="62D358FF"/>
    <w:rsid w:val="63387E58"/>
    <w:rsid w:val="63B82D47"/>
    <w:rsid w:val="65EE47FE"/>
    <w:rsid w:val="672F50CE"/>
    <w:rsid w:val="6779459B"/>
    <w:rsid w:val="682664D1"/>
    <w:rsid w:val="684921C0"/>
    <w:rsid w:val="699456BD"/>
    <w:rsid w:val="6A164324"/>
    <w:rsid w:val="6AFE3735"/>
    <w:rsid w:val="6C1C6EDB"/>
    <w:rsid w:val="6CEF49D3"/>
    <w:rsid w:val="6CFA617E"/>
    <w:rsid w:val="6D68133A"/>
    <w:rsid w:val="6E2A4841"/>
    <w:rsid w:val="6F543924"/>
    <w:rsid w:val="6F7044D6"/>
    <w:rsid w:val="6FA80114"/>
    <w:rsid w:val="6FAC3760"/>
    <w:rsid w:val="706B361B"/>
    <w:rsid w:val="708B2D9B"/>
    <w:rsid w:val="71096990"/>
    <w:rsid w:val="711710AD"/>
    <w:rsid w:val="713734FD"/>
    <w:rsid w:val="71594C73"/>
    <w:rsid w:val="71BB5EDC"/>
    <w:rsid w:val="725400DF"/>
    <w:rsid w:val="735C549D"/>
    <w:rsid w:val="73741E05"/>
    <w:rsid w:val="76412FDA"/>
    <w:rsid w:val="7677439C"/>
    <w:rsid w:val="76AB677E"/>
    <w:rsid w:val="76B178AE"/>
    <w:rsid w:val="774E334F"/>
    <w:rsid w:val="77CD0717"/>
    <w:rsid w:val="78034139"/>
    <w:rsid w:val="78485FF0"/>
    <w:rsid w:val="78B05DDA"/>
    <w:rsid w:val="79166B2C"/>
    <w:rsid w:val="791B54B2"/>
    <w:rsid w:val="7AE61B10"/>
    <w:rsid w:val="7B3E01F7"/>
    <w:rsid w:val="7B821819"/>
    <w:rsid w:val="7B845591"/>
    <w:rsid w:val="7BCC6F38"/>
    <w:rsid w:val="7CEB4E28"/>
    <w:rsid w:val="7D133070"/>
    <w:rsid w:val="7EAA3560"/>
    <w:rsid w:val="7EFE1AFE"/>
    <w:rsid w:val="7F1C7669"/>
    <w:rsid w:val="7FC00B62"/>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link w:val="14"/>
    <w:qFormat/>
    <w:uiPriority w:val="0"/>
    <w:pPr>
      <w:keepNext/>
      <w:keepLines/>
      <w:spacing w:before="340" w:after="330" w:line="576" w:lineRule="auto"/>
      <w:outlineLvl w:val="0"/>
    </w:pPr>
    <w:rPr>
      <w:b/>
      <w:kern w:val="44"/>
      <w:sz w:val="4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toa heading"/>
    <w:basedOn w:val="1"/>
    <w:next w:val="1"/>
    <w:unhideWhenUsed/>
    <w:qFormat/>
    <w:uiPriority w:val="99"/>
    <w:pPr>
      <w:spacing w:before="120"/>
    </w:pPr>
    <w:rPr>
      <w:rFonts w:ascii="Cambria" w:hAnsi="Cambria"/>
      <w:sz w:val="24"/>
    </w:rPr>
  </w:style>
  <w:style w:type="paragraph" w:styleId="4">
    <w:name w:val="Plain Text"/>
    <w:basedOn w:val="1"/>
    <w:qFormat/>
    <w:uiPriority w:val="0"/>
    <w:rPr>
      <w:rFonts w:ascii="宋体" w:hAnsi="Courier New" w:cs="Times New Roman"/>
      <w:kern w:val="0"/>
      <w:sz w:val="20"/>
      <w:szCs w:val="21"/>
    </w:rPr>
  </w:style>
  <w:style w:type="paragraph" w:styleId="5">
    <w:name w:val="Body Text Indent 2"/>
    <w:basedOn w:val="1"/>
    <w:qFormat/>
    <w:uiPriority w:val="0"/>
    <w:pPr>
      <w:ind w:firstLine="534" w:firstLineChars="167"/>
    </w:pPr>
    <w:rPr>
      <w:rFonts w:ascii="Calibri" w:hAnsi="Calibri" w:eastAsia="宋体" w:cs="Times New Roman"/>
      <w:sz w:val="32"/>
    </w:rPr>
  </w:style>
  <w:style w:type="paragraph" w:styleId="6">
    <w:name w:val="footer"/>
    <w:basedOn w:val="1"/>
    <w:qFormat/>
    <w:uiPriority w:val="99"/>
    <w:pPr>
      <w:shd w:val="clear" w:color="auto" w:fill="FFFFFF"/>
      <w:tabs>
        <w:tab w:val="center" w:pos="4153"/>
        <w:tab w:val="right" w:pos="8306"/>
      </w:tabs>
      <w:snapToGrid w:val="0"/>
      <w:spacing w:before="100" w:beforeAutospacing="1" w:after="100" w:afterAutospacing="1" w:line="240" w:lineRule="atLeast"/>
      <w:ind w:firstLine="360" w:firstLineChars="150"/>
    </w:pPr>
    <w:rPr>
      <w:rFonts w:ascii="宋体" w:hAnsi="宋体"/>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spacing w:before="120" w:after="120"/>
    </w:pPr>
    <w:rPr>
      <w:b/>
      <w:bCs/>
      <w:caps/>
    </w:rPr>
  </w:style>
  <w:style w:type="paragraph" w:styleId="9">
    <w:name w:val="Body Text 2"/>
    <w:qFormat/>
    <w:uiPriority w:val="0"/>
    <w:pPr>
      <w:widowControl w:val="0"/>
      <w:spacing w:after="120" w:line="480" w:lineRule="auto"/>
      <w:jc w:val="both"/>
    </w:pPr>
    <w:rPr>
      <w:rFonts w:ascii="Times New Roman" w:hAnsi="Times New Roman" w:eastAsia="宋体" w:cs="Times New Roman"/>
      <w:kern w:val="2"/>
      <w:sz w:val="21"/>
      <w:szCs w:val="24"/>
      <w:lang w:val="en-US" w:eastAsia="zh-CN" w:bidi="ar-SA"/>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3">
    <w:name w:val="Hyperlink"/>
    <w:qFormat/>
    <w:uiPriority w:val="0"/>
    <w:rPr>
      <w:color w:val="0000FF"/>
      <w:u w:val="single"/>
    </w:rPr>
  </w:style>
  <w:style w:type="character" w:customStyle="1" w:styleId="14">
    <w:name w:val="标题 1 字符"/>
    <w:basedOn w:val="12"/>
    <w:link w:val="2"/>
    <w:qFormat/>
    <w:uiPriority w:val="0"/>
    <w:rPr>
      <w:b/>
      <w:kern w:val="44"/>
      <w:sz w:val="44"/>
    </w:rPr>
  </w:style>
  <w:style w:type="paragraph" w:styleId="15">
    <w:name w:val="List Paragraph"/>
    <w:basedOn w:val="1"/>
    <w:unhideWhenUsed/>
    <w:qFormat/>
    <w:uiPriority w:val="99"/>
    <w:pPr>
      <w:ind w:firstLine="420" w:firstLineChars="200"/>
    </w:pPr>
  </w:style>
  <w:style w:type="paragraph" w:customStyle="1" w:styleId="16">
    <w:name w:val="Normal_1"/>
    <w:qFormat/>
    <w:uiPriority w:val="0"/>
    <w:pPr>
      <w:widowControl w:val="0"/>
      <w:jc w:val="both"/>
    </w:pPr>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10230</Words>
  <Characters>11175</Characters>
  <Lines>0</Lines>
  <Paragraphs>0</Paragraphs>
  <TotalTime>18</TotalTime>
  <ScaleCrop>false</ScaleCrop>
  <LinksUpToDate>false</LinksUpToDate>
  <CharactersWithSpaces>11493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2025-11-24T06:04:00Z</dcterms:created>
  <dc:creator>简单的答案</dc:creator>
  <cp:lastModifiedBy>凉米线</cp:lastModifiedBy>
  <dcterms:modified xsi:type="dcterms:W3CDTF">2026-03-14T02:09:25Z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AA598F9A3CD14ED5B9684E75E7E77DCD_13</vt:lpwstr>
  </property>
  <property fmtid="{D5CDD505-2E9C-101B-9397-08002B2CF9AE}" pid="4" name="KSOTemplateDocerSaveRecord">
    <vt:lpwstr>eyJoZGlkIjoiMWE3NjA2YWVlYmNkYTM0NjRkMWQ5OWQ0YzgyNmNlY2IiLCJ1c2VySWQiOiIzMzkxMjk0NzAifQ==</vt:lpwstr>
  </property>
</Properties>
</file>