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cs="仿宋"/>
          <w:b/>
          <w:bCs/>
          <w:szCs w:val="24"/>
        </w:rPr>
      </w:pPr>
    </w:p>
    <w:p>
      <w:pPr>
        <w:pStyle w:val="22"/>
        <w:rPr>
          <w:rFonts w:ascii="仿宋" w:hAnsi="仿宋" w:eastAsia="仿宋" w:cs="仿宋"/>
          <w:b/>
          <w:bCs/>
        </w:rPr>
      </w:pPr>
    </w:p>
    <w:p>
      <w:pPr>
        <w:pStyle w:val="22"/>
        <w:rPr>
          <w:rFonts w:ascii="仿宋" w:hAnsi="仿宋" w:eastAsia="仿宋" w:cs="仿宋"/>
          <w:b/>
          <w:bCs/>
        </w:rPr>
      </w:pPr>
    </w:p>
    <w:p>
      <w:pPr>
        <w:pStyle w:val="22"/>
        <w:rPr>
          <w:rFonts w:ascii="仿宋" w:hAnsi="仿宋" w:eastAsia="仿宋" w:cs="仿宋"/>
          <w:b/>
          <w:bCs/>
        </w:rPr>
      </w:pPr>
    </w:p>
    <w:p>
      <w:pPr>
        <w:pStyle w:val="22"/>
        <w:rPr>
          <w:rFonts w:ascii="仿宋" w:hAnsi="仿宋" w:eastAsia="仿宋" w:cs="仿宋"/>
          <w:b/>
          <w:bCs/>
        </w:rPr>
      </w:pPr>
    </w:p>
    <w:p>
      <w:pPr>
        <w:pStyle w:val="22"/>
        <w:rPr>
          <w:rFonts w:ascii="仿宋" w:hAnsi="仿宋" w:eastAsia="仿宋" w:cs="仿宋"/>
          <w:b/>
          <w:bCs/>
        </w:rPr>
      </w:pPr>
    </w:p>
    <w:p>
      <w:pPr>
        <w:pStyle w:val="22"/>
        <w:rPr>
          <w:rFonts w:ascii="仿宋" w:hAnsi="仿宋" w:eastAsia="仿宋" w:cs="仿宋"/>
          <w:b/>
          <w:bCs/>
        </w:rPr>
      </w:pPr>
    </w:p>
    <w:p>
      <w:pPr>
        <w:pStyle w:val="22"/>
        <w:rPr>
          <w:rFonts w:ascii="仿宋" w:hAnsi="仿宋" w:eastAsia="仿宋" w:cs="仿宋"/>
          <w:b/>
          <w:bCs/>
        </w:rPr>
      </w:pPr>
    </w:p>
    <w:p>
      <w:pPr>
        <w:pStyle w:val="22"/>
        <w:rPr>
          <w:rFonts w:ascii="仿宋" w:hAnsi="仿宋" w:eastAsia="仿宋" w:cs="仿宋"/>
          <w:b/>
          <w:bCs/>
        </w:rPr>
      </w:pPr>
    </w:p>
    <w:p>
      <w:pPr>
        <w:pStyle w:val="6"/>
        <w:spacing w:line="360" w:lineRule="auto"/>
        <w:jc w:val="center"/>
        <w:rPr>
          <w:rFonts w:ascii="仿宋" w:hAnsi="仿宋" w:cs="仿宋"/>
          <w:b/>
          <w:sz w:val="52"/>
          <w:szCs w:val="52"/>
        </w:rPr>
      </w:pPr>
      <w:bookmarkStart w:id="0" w:name="OLE_LINK35"/>
      <w:bookmarkStart w:id="1" w:name="OLE_LINK11"/>
      <w:bookmarkStart w:id="2" w:name="OLE_LINK10"/>
      <w:r>
        <w:rPr>
          <w:rFonts w:hint="eastAsia" w:ascii="仿宋" w:hAnsi="仿宋" w:cs="仿宋"/>
          <w:b/>
          <w:sz w:val="52"/>
          <w:szCs w:val="52"/>
        </w:rPr>
        <w:t>云南昆钢资产经营有限公司及托管单位</w:t>
      </w:r>
    </w:p>
    <w:p>
      <w:pPr>
        <w:pStyle w:val="6"/>
        <w:spacing w:line="360" w:lineRule="auto"/>
        <w:jc w:val="center"/>
        <w:rPr>
          <w:rFonts w:ascii="仿宋" w:hAnsi="仿宋" w:cs="仿宋"/>
          <w:b/>
          <w:sz w:val="52"/>
          <w:szCs w:val="52"/>
        </w:rPr>
      </w:pPr>
      <w:r>
        <w:rPr>
          <w:rFonts w:hint="eastAsia" w:ascii="仿宋" w:hAnsi="仿宋" w:cs="仿宋"/>
          <w:b/>
          <w:sz w:val="52"/>
          <w:szCs w:val="52"/>
        </w:rPr>
        <w:t>2026年-2027年电力市场化交易服务项目</w:t>
      </w:r>
      <w:bookmarkEnd w:id="0"/>
    </w:p>
    <w:p>
      <w:pPr>
        <w:pStyle w:val="22"/>
        <w:spacing w:line="360" w:lineRule="auto"/>
        <w:rPr>
          <w:rFonts w:ascii="仿宋" w:hAnsi="仿宋" w:eastAsia="仿宋" w:cs="仿宋"/>
        </w:rPr>
      </w:pPr>
    </w:p>
    <w:p>
      <w:pPr>
        <w:pStyle w:val="22"/>
        <w:spacing w:line="360" w:lineRule="auto"/>
        <w:rPr>
          <w:rFonts w:ascii="仿宋" w:hAnsi="仿宋" w:eastAsia="仿宋" w:cs="仿宋"/>
        </w:rPr>
      </w:pPr>
    </w:p>
    <w:p>
      <w:pPr>
        <w:spacing w:line="360" w:lineRule="auto"/>
        <w:jc w:val="center"/>
        <w:rPr>
          <w:rFonts w:ascii="仿宋" w:hAnsi="仿宋" w:cs="仿宋"/>
          <w:b/>
          <w:bCs/>
          <w:szCs w:val="24"/>
        </w:rPr>
      </w:pPr>
    </w:p>
    <w:p>
      <w:pPr>
        <w:spacing w:line="360" w:lineRule="auto"/>
        <w:jc w:val="center"/>
        <w:rPr>
          <w:rFonts w:ascii="仿宋" w:hAnsi="仿宋" w:cs="仿宋"/>
          <w:b/>
          <w:bCs/>
          <w:sz w:val="52"/>
          <w:szCs w:val="52"/>
        </w:rPr>
      </w:pPr>
      <w:r>
        <w:rPr>
          <w:rFonts w:hint="eastAsia" w:ascii="仿宋" w:hAnsi="仿宋" w:cs="仿宋"/>
          <w:b/>
          <w:bCs/>
          <w:sz w:val="52"/>
          <w:szCs w:val="52"/>
        </w:rPr>
        <w:t>谈判采购文件</w:t>
      </w:r>
      <w:bookmarkEnd w:id="1"/>
      <w:bookmarkEnd w:id="2"/>
    </w:p>
    <w:p>
      <w:pPr>
        <w:tabs>
          <w:tab w:val="right" w:pos="9241"/>
        </w:tabs>
        <w:spacing w:line="360" w:lineRule="auto"/>
        <w:jc w:val="center"/>
        <w:rPr>
          <w:rFonts w:ascii="仿宋" w:hAnsi="仿宋" w:cs="仿宋"/>
          <w:b/>
          <w:sz w:val="44"/>
          <w:szCs w:val="44"/>
        </w:rPr>
      </w:pPr>
    </w:p>
    <w:p>
      <w:pPr>
        <w:spacing w:line="360" w:lineRule="auto"/>
        <w:jc w:val="center"/>
        <w:rPr>
          <w:rFonts w:ascii="仿宋" w:hAnsi="仿宋" w:cs="仿宋"/>
          <w:szCs w:val="24"/>
        </w:rPr>
      </w:pPr>
    </w:p>
    <w:p>
      <w:pPr>
        <w:tabs>
          <w:tab w:val="left" w:pos="5190"/>
        </w:tabs>
        <w:spacing w:line="360" w:lineRule="auto"/>
        <w:rPr>
          <w:rFonts w:ascii="仿宋" w:hAnsi="仿宋" w:cs="仿宋"/>
          <w:b/>
          <w:szCs w:val="24"/>
        </w:rPr>
      </w:pPr>
    </w:p>
    <w:p>
      <w:pPr>
        <w:tabs>
          <w:tab w:val="left" w:pos="5190"/>
        </w:tabs>
        <w:spacing w:line="360" w:lineRule="auto"/>
        <w:rPr>
          <w:rFonts w:ascii="仿宋" w:hAnsi="仿宋" w:cs="仿宋"/>
          <w:b/>
          <w:szCs w:val="24"/>
        </w:rPr>
      </w:pPr>
    </w:p>
    <w:p>
      <w:pPr>
        <w:tabs>
          <w:tab w:val="left" w:pos="5190"/>
        </w:tabs>
        <w:spacing w:line="360" w:lineRule="auto"/>
        <w:jc w:val="center"/>
        <w:rPr>
          <w:rFonts w:ascii="仿宋" w:hAnsi="仿宋" w:cs="仿宋"/>
          <w:b/>
          <w:sz w:val="32"/>
          <w:szCs w:val="32"/>
        </w:rPr>
      </w:pPr>
      <w:r>
        <w:rPr>
          <w:rFonts w:hint="eastAsia" w:ascii="仿宋" w:hAnsi="仿宋" w:cs="仿宋"/>
          <w:b/>
          <w:sz w:val="32"/>
          <w:szCs w:val="32"/>
        </w:rPr>
        <w:t>采购人：云南昆钢资产经营有限公司</w:t>
      </w:r>
    </w:p>
    <w:p>
      <w:pPr>
        <w:spacing w:line="360" w:lineRule="auto"/>
        <w:jc w:val="center"/>
        <w:rPr>
          <w:rFonts w:ascii="仿宋" w:hAnsi="仿宋" w:cs="仿宋"/>
          <w:b/>
          <w:sz w:val="32"/>
          <w:szCs w:val="32"/>
        </w:rPr>
        <w:sectPr>
          <w:footerReference r:id="rId3" w:type="default"/>
          <w:pgSz w:w="11920" w:h="16840"/>
          <w:pgMar w:top="1247" w:right="1247" w:bottom="1247" w:left="1247" w:header="0" w:footer="784" w:gutter="0"/>
          <w:pgNumType w:start="0"/>
          <w:cols w:space="720" w:num="1"/>
        </w:sectPr>
      </w:pPr>
      <w:r>
        <w:rPr>
          <w:rFonts w:hint="eastAsia" w:ascii="仿宋" w:hAnsi="仿宋" w:cs="仿宋"/>
          <w:b/>
          <w:sz w:val="32"/>
          <w:szCs w:val="32"/>
        </w:rPr>
        <w:t xml:space="preserve">   二○二六年八月</w:t>
      </w:r>
    </w:p>
    <w:p>
      <w:pPr>
        <w:pStyle w:val="2"/>
        <w:rPr>
          <w:rFonts w:ascii="仿宋" w:hAnsi="仿宋" w:cs="仿宋"/>
        </w:rPr>
      </w:pPr>
      <w:bookmarkStart w:id="3" w:name="_Toc24880"/>
      <w:bookmarkStart w:id="4" w:name="_Toc235335428"/>
      <w:bookmarkStart w:id="5" w:name="_Toc482297980"/>
      <w:bookmarkStart w:id="6" w:name="_Toc29357044"/>
      <w:bookmarkStart w:id="7" w:name="_Toc235335542"/>
      <w:bookmarkStart w:id="8" w:name="_Toc196053191"/>
      <w:bookmarkStart w:id="9" w:name="_Toc141063297"/>
      <w:bookmarkStart w:id="10" w:name="_Toc241563305"/>
      <w:bookmarkStart w:id="11" w:name="_Toc7379"/>
      <w:r>
        <w:rPr>
          <w:rFonts w:hint="eastAsia" w:ascii="仿宋" w:hAnsi="仿宋" w:cs="仿宋"/>
        </w:rPr>
        <w:t>第一章</w:t>
      </w:r>
      <w:bookmarkEnd w:id="3"/>
      <w:bookmarkEnd w:id="4"/>
      <w:bookmarkEnd w:id="5"/>
      <w:bookmarkEnd w:id="6"/>
      <w:bookmarkEnd w:id="7"/>
      <w:bookmarkEnd w:id="8"/>
      <w:bookmarkEnd w:id="9"/>
      <w:bookmarkEnd w:id="10"/>
      <w:bookmarkEnd w:id="11"/>
      <w:r>
        <w:rPr>
          <w:rFonts w:hint="eastAsia" w:ascii="仿宋" w:hAnsi="仿宋" w:cs="仿宋"/>
        </w:rPr>
        <w:t>谈判采购项目</w:t>
      </w:r>
    </w:p>
    <w:p>
      <w:pPr>
        <w:pStyle w:val="3"/>
      </w:pPr>
    </w:p>
    <w:p>
      <w:pPr>
        <w:pStyle w:val="3"/>
      </w:pPr>
      <w:bookmarkStart w:id="12" w:name="OLE_LINK7"/>
      <w:r>
        <w:rPr>
          <w:rFonts w:hint="eastAsia"/>
        </w:rPr>
        <w:t>一、项目基本情况</w:t>
      </w:r>
    </w:p>
    <w:p>
      <w:pPr>
        <w:spacing w:line="360" w:lineRule="auto"/>
        <w:ind w:firstLine="480" w:firstLineChars="200"/>
        <w:rPr>
          <w:rFonts w:ascii="仿宋" w:hAnsi="仿宋" w:cs="仿宋"/>
          <w:bCs/>
          <w:szCs w:val="24"/>
        </w:rPr>
      </w:pPr>
      <w:r>
        <w:rPr>
          <w:rFonts w:hint="eastAsia" w:ascii="仿宋" w:hAnsi="仿宋" w:cs="仿宋"/>
          <w:bCs/>
          <w:szCs w:val="24"/>
        </w:rPr>
        <w:t>（一）项目名称：</w:t>
      </w:r>
      <w:bookmarkStart w:id="13" w:name="OLE_LINK15"/>
      <w:bookmarkStart w:id="14" w:name="OLE_LINK16"/>
      <w:bookmarkStart w:id="15" w:name="OLE_LINK9"/>
      <w:bookmarkStart w:id="392" w:name="_GoBack"/>
      <w:r>
        <w:rPr>
          <w:rFonts w:hint="eastAsia" w:ascii="仿宋" w:hAnsi="仿宋" w:cs="仿宋"/>
          <w:bCs/>
          <w:szCs w:val="24"/>
        </w:rPr>
        <w:t>云南昆钢资产经营有限公司及托管单位2026年-2027年电力市场化交易服务项目</w:t>
      </w:r>
      <w:bookmarkEnd w:id="13"/>
      <w:bookmarkEnd w:id="14"/>
      <w:bookmarkEnd w:id="15"/>
    </w:p>
    <w:bookmarkEnd w:id="392"/>
    <w:p>
      <w:pPr>
        <w:spacing w:line="360" w:lineRule="auto"/>
        <w:ind w:firstLine="480" w:firstLineChars="200"/>
        <w:rPr>
          <w:rFonts w:ascii="仿宋" w:hAnsi="仿宋" w:cs="仿宋"/>
          <w:bCs/>
          <w:szCs w:val="24"/>
        </w:rPr>
      </w:pPr>
      <w:r>
        <w:rPr>
          <w:rFonts w:hint="eastAsia" w:ascii="仿宋" w:hAnsi="仿宋" w:cs="仿宋"/>
          <w:bCs/>
          <w:szCs w:val="24"/>
        </w:rPr>
        <w:t>（二）采购方式：谈判采购</w:t>
      </w:r>
    </w:p>
    <w:p>
      <w:pPr>
        <w:spacing w:line="360" w:lineRule="auto"/>
        <w:ind w:firstLine="480" w:firstLineChars="200"/>
        <w:rPr>
          <w:rFonts w:ascii="仿宋" w:hAnsi="仿宋" w:cs="仿宋"/>
          <w:bCs/>
          <w:szCs w:val="24"/>
        </w:rPr>
      </w:pPr>
      <w:r>
        <w:rPr>
          <w:rFonts w:hint="eastAsia" w:ascii="仿宋" w:hAnsi="仿宋" w:cs="仿宋"/>
          <w:bCs/>
          <w:szCs w:val="24"/>
        </w:rPr>
        <w:t>（三）项目概况</w:t>
      </w:r>
    </w:p>
    <w:p>
      <w:pPr>
        <w:spacing w:line="360" w:lineRule="auto"/>
        <w:ind w:firstLine="480" w:firstLineChars="200"/>
        <w:rPr>
          <w:rFonts w:ascii="仿宋" w:hAnsi="仿宋" w:cs="仿宋"/>
          <w:bCs/>
          <w:szCs w:val="24"/>
        </w:rPr>
      </w:pPr>
      <w:r>
        <w:rPr>
          <w:rFonts w:hint="eastAsia" w:ascii="仿宋" w:hAnsi="仿宋" w:cs="仿宋"/>
          <w:bCs/>
          <w:szCs w:val="24"/>
        </w:rPr>
        <w:t>为做好云南昆钢资产经营有限公司及托管单位2026年9月1日—2027年12月31日电力市场化交易相关工作，本次由云南昆钢资产经营有限公司集中采购一家电力市场化交易代理服务机构。预估采购电量</w:t>
      </w:r>
      <w:r>
        <w:rPr>
          <w:rFonts w:hint="eastAsia" w:ascii="仿宋" w:hAnsi="仿宋" w:cs="仿宋"/>
          <w:bCs/>
          <w:szCs w:val="24"/>
          <w:u w:val="single"/>
        </w:rPr>
        <w:t>8000</w:t>
      </w:r>
      <w:r>
        <w:rPr>
          <w:rFonts w:hint="eastAsia" w:ascii="仿宋" w:hAnsi="仿宋" w:cs="仿宋"/>
          <w:bCs/>
          <w:szCs w:val="24"/>
        </w:rPr>
        <w:t>万kWh。成交人需分别与云南昆钢资产经营有限公司、云南省燃料总公司、云南物流产业集团物资贸易有限公司、云南物流产业集团物业管理有限公司、云南昆钢房地产开发有限公司、昆明钢铁集团有限责任公司龙山冶金熔剂矿、昆明钢铁集团有限责任公司上厂分公司分别签订《电力交易服务合同》。</w:t>
      </w:r>
    </w:p>
    <w:p>
      <w:pPr>
        <w:spacing w:line="360" w:lineRule="auto"/>
        <w:ind w:firstLine="480" w:firstLineChars="200"/>
        <w:rPr>
          <w:rFonts w:ascii="仿宋" w:hAnsi="仿宋" w:cs="仿宋"/>
          <w:bCs/>
          <w:szCs w:val="24"/>
        </w:rPr>
      </w:pPr>
      <w:r>
        <w:rPr>
          <w:rFonts w:hint="eastAsia" w:ascii="仿宋" w:hAnsi="仿宋" w:cs="仿宋"/>
          <w:bCs/>
          <w:szCs w:val="24"/>
        </w:rPr>
        <w:t>（四）服务内容：</w:t>
      </w:r>
    </w:p>
    <w:p>
      <w:pPr>
        <w:spacing w:line="360" w:lineRule="auto"/>
        <w:ind w:firstLine="480" w:firstLineChars="200"/>
        <w:rPr>
          <w:rFonts w:ascii="仿宋" w:hAnsi="仿宋" w:cs="仿宋"/>
          <w:bCs/>
          <w:szCs w:val="24"/>
        </w:rPr>
      </w:pPr>
      <w:r>
        <w:rPr>
          <w:rFonts w:hint="eastAsia" w:ascii="仿宋" w:hAnsi="仿宋" w:cs="仿宋"/>
          <w:bCs/>
          <w:szCs w:val="24"/>
        </w:rPr>
        <w:t>本次服务包含但不限以下内容：</w:t>
      </w:r>
    </w:p>
    <w:p>
      <w:pPr>
        <w:spacing w:line="360" w:lineRule="auto"/>
        <w:ind w:firstLine="480" w:firstLineChars="200"/>
        <w:rPr>
          <w:rFonts w:ascii="仿宋" w:hAnsi="仿宋" w:cs="仿宋"/>
          <w:bCs/>
          <w:szCs w:val="24"/>
        </w:rPr>
      </w:pPr>
      <w:r>
        <w:rPr>
          <w:rFonts w:hint="eastAsia" w:ascii="仿宋" w:hAnsi="仿宋" w:cs="仿宋"/>
          <w:bCs/>
          <w:szCs w:val="24"/>
        </w:rPr>
        <w:t>1.代理参与电力市场化交易年度及分月电量申报、交易，每月偏差电量消纳，电力现货交易等相关工作。</w:t>
      </w:r>
    </w:p>
    <w:p>
      <w:pPr>
        <w:spacing w:line="360" w:lineRule="auto"/>
        <w:ind w:firstLine="480" w:firstLineChars="200"/>
        <w:rPr>
          <w:rFonts w:ascii="仿宋" w:hAnsi="仿宋" w:cs="仿宋"/>
          <w:bCs/>
          <w:szCs w:val="24"/>
        </w:rPr>
      </w:pPr>
      <w:r>
        <w:rPr>
          <w:rFonts w:hint="eastAsia" w:ascii="仿宋" w:hAnsi="仿宋" w:cs="仿宋"/>
          <w:bCs/>
          <w:szCs w:val="24"/>
        </w:rPr>
        <w:t>2.所有电力交易流程全权委托售电公司协助办理，包括电力交易平台注册、信息维护及后续电力交易相关的全周期交易服务。</w:t>
      </w:r>
    </w:p>
    <w:p>
      <w:pPr>
        <w:spacing w:line="360" w:lineRule="auto"/>
        <w:ind w:firstLine="480" w:firstLineChars="200"/>
        <w:rPr>
          <w:rFonts w:ascii="仿宋" w:hAnsi="仿宋" w:cs="仿宋"/>
          <w:bCs/>
          <w:szCs w:val="24"/>
        </w:rPr>
      </w:pPr>
      <w:r>
        <w:rPr>
          <w:rFonts w:hint="eastAsia" w:ascii="仿宋" w:hAnsi="仿宋" w:cs="仿宋"/>
          <w:bCs/>
          <w:szCs w:val="24"/>
        </w:rPr>
        <w:t>3.负责电力技术咨询及服务，包括与电网企业的沟通，用电业务手续办理等优质高效的电力服务工作。</w:t>
      </w:r>
    </w:p>
    <w:p>
      <w:pPr>
        <w:spacing w:line="360" w:lineRule="auto"/>
        <w:ind w:firstLine="480" w:firstLineChars="200"/>
        <w:rPr>
          <w:rFonts w:ascii="仿宋" w:hAnsi="仿宋" w:cs="仿宋"/>
          <w:bCs/>
          <w:szCs w:val="24"/>
        </w:rPr>
      </w:pPr>
      <w:r>
        <w:rPr>
          <w:rFonts w:hint="eastAsia" w:ascii="仿宋" w:hAnsi="仿宋" w:cs="仿宋"/>
          <w:bCs/>
          <w:szCs w:val="24"/>
        </w:rPr>
        <w:t>4.提供真实准确的交易相关信息和资料，并根据采购人实际用电情况提供准确性、合理性用电分析及建议。</w:t>
      </w:r>
    </w:p>
    <w:p>
      <w:pPr>
        <w:spacing w:line="360" w:lineRule="auto"/>
        <w:ind w:firstLine="480" w:firstLineChars="200"/>
        <w:rPr>
          <w:rFonts w:ascii="仿宋" w:hAnsi="仿宋" w:cs="仿宋"/>
          <w:bCs/>
          <w:szCs w:val="24"/>
        </w:rPr>
      </w:pPr>
      <w:r>
        <w:rPr>
          <w:rFonts w:hint="eastAsia" w:ascii="仿宋" w:hAnsi="仿宋" w:cs="仿宋"/>
          <w:bCs/>
          <w:szCs w:val="24"/>
        </w:rPr>
        <w:t>（五）服务要求</w:t>
      </w:r>
    </w:p>
    <w:p>
      <w:pPr>
        <w:spacing w:line="360" w:lineRule="auto"/>
        <w:ind w:firstLine="480" w:firstLineChars="200"/>
        <w:rPr>
          <w:rFonts w:ascii="仿宋" w:hAnsi="仿宋" w:cs="仿宋"/>
          <w:bCs/>
          <w:szCs w:val="24"/>
        </w:rPr>
      </w:pPr>
      <w:r>
        <w:rPr>
          <w:rFonts w:hint="eastAsia" w:ascii="仿宋" w:hAnsi="仿宋" w:cs="仿宋"/>
          <w:bCs/>
          <w:szCs w:val="24"/>
        </w:rPr>
        <w:t>1.本项目服务过程中所有安全责任事故及相关一切费用，都由成交人负责。</w:t>
      </w:r>
    </w:p>
    <w:p>
      <w:pPr>
        <w:spacing w:line="360" w:lineRule="auto"/>
        <w:ind w:firstLine="480" w:firstLineChars="200"/>
        <w:rPr>
          <w:rFonts w:ascii="仿宋" w:hAnsi="仿宋" w:cs="仿宋"/>
          <w:bCs/>
          <w:szCs w:val="24"/>
        </w:rPr>
      </w:pPr>
      <w:r>
        <w:rPr>
          <w:rFonts w:hint="eastAsia" w:ascii="仿宋" w:hAnsi="仿宋" w:cs="仿宋"/>
          <w:bCs/>
          <w:szCs w:val="24"/>
        </w:rPr>
        <w:t>2.报价中应包含该项服务中产生的全部费用（包含服务费、劳务费、人工成本、通讯费、交通费、保险费、税金及与项目相关工作的协调、昆明电力交易中心收取的平台交易服务费等所发生的全部费用，采购人不再另行支付任何费用，供应商应综合考虑各类不可预见的风险）。</w:t>
      </w:r>
    </w:p>
    <w:p>
      <w:pPr>
        <w:spacing w:line="360" w:lineRule="auto"/>
        <w:ind w:firstLine="480" w:firstLineChars="200"/>
        <w:rPr>
          <w:rFonts w:ascii="仿宋" w:hAnsi="仿宋" w:cs="仿宋"/>
          <w:bCs/>
          <w:szCs w:val="24"/>
        </w:rPr>
      </w:pPr>
      <w:r>
        <w:rPr>
          <w:rFonts w:hint="eastAsia" w:ascii="仿宋" w:hAnsi="仿宋" w:cs="仿宋"/>
          <w:bCs/>
          <w:szCs w:val="24"/>
        </w:rPr>
        <w:t>3.</w:t>
      </w:r>
      <w:bookmarkStart w:id="16" w:name="OLE_LINK3"/>
      <w:bookmarkStart w:id="17" w:name="OLE_LINK4"/>
      <w:bookmarkStart w:id="18" w:name="OLE_LINK77"/>
      <w:r>
        <w:rPr>
          <w:rFonts w:hint="eastAsia" w:ascii="仿宋" w:hAnsi="仿宋" w:cs="仿宋"/>
          <w:bCs/>
          <w:color w:val="FF0000"/>
          <w:szCs w:val="24"/>
        </w:rPr>
        <w:t>本次报价分为非现货电量交易价格和现货电量交易价格两个部分，其中非现货电量交易价格根据采购人给出的每月电量进行分月报价，现货电量交易价格每月以市场基准价（日前用户侧综合价格）为准，不进行浮动，同时现货自定义电量比例为0%。</w:t>
      </w:r>
      <w:bookmarkEnd w:id="16"/>
      <w:bookmarkEnd w:id="17"/>
      <w:bookmarkEnd w:id="18"/>
    </w:p>
    <w:p>
      <w:pPr>
        <w:spacing w:line="360" w:lineRule="auto"/>
        <w:ind w:firstLine="480" w:firstLineChars="200"/>
        <w:rPr>
          <w:rFonts w:ascii="仿宋" w:hAnsi="仿宋" w:cs="仿宋"/>
          <w:bCs/>
          <w:szCs w:val="24"/>
        </w:rPr>
      </w:pPr>
      <w:r>
        <w:rPr>
          <w:rFonts w:hint="eastAsia" w:ascii="仿宋" w:hAnsi="仿宋" w:cs="仿宋"/>
          <w:bCs/>
          <w:szCs w:val="24"/>
        </w:rPr>
        <w:t>4.交易电量约定：双方协商确定。合同签订后按采购人预估用电量或双方协商电量录入系统，每月末最后一个工作日前可根据实际用电计划调整下月交易电量。</w:t>
      </w:r>
    </w:p>
    <w:p>
      <w:pPr>
        <w:spacing w:line="360" w:lineRule="auto"/>
        <w:ind w:firstLine="480" w:firstLineChars="200"/>
        <w:rPr>
          <w:rFonts w:ascii="仿宋" w:hAnsi="仿宋" w:cs="仿宋"/>
          <w:bCs/>
          <w:szCs w:val="24"/>
        </w:rPr>
      </w:pPr>
      <w:r>
        <w:rPr>
          <w:rFonts w:hint="eastAsia" w:ascii="仿宋" w:hAnsi="仿宋" w:cs="仿宋"/>
          <w:bCs/>
          <w:szCs w:val="24"/>
        </w:rPr>
        <w:t>5.偏差电量处理方式：当采购人实际用电量与申报电量存在偏差时，由成交人负责</w:t>
      </w:r>
      <w:r>
        <w:rPr>
          <w:rFonts w:hint="eastAsia" w:ascii="仿宋" w:hAnsi="仿宋" w:cs="仿宋"/>
          <w:szCs w:val="24"/>
        </w:rPr>
        <w:t>±100%</w:t>
      </w:r>
      <w:r>
        <w:rPr>
          <w:rFonts w:hint="eastAsia" w:ascii="仿宋" w:hAnsi="仿宋" w:cs="仿宋"/>
          <w:bCs/>
          <w:szCs w:val="24"/>
        </w:rPr>
        <w:t>偏差电量消纳工作。</w:t>
      </w:r>
    </w:p>
    <w:p>
      <w:pPr>
        <w:spacing w:line="360" w:lineRule="auto"/>
        <w:ind w:firstLine="480" w:firstLineChars="200"/>
        <w:rPr>
          <w:rFonts w:ascii="仿宋" w:hAnsi="仿宋" w:cs="仿宋"/>
          <w:bCs/>
          <w:color w:val="FF0000"/>
          <w:szCs w:val="24"/>
        </w:rPr>
      </w:pPr>
      <w:r>
        <w:rPr>
          <w:rFonts w:hint="eastAsia" w:ascii="仿宋" w:hAnsi="仿宋" w:cs="仿宋"/>
          <w:bCs/>
          <w:color w:val="FF0000"/>
          <w:szCs w:val="24"/>
        </w:rPr>
        <w:t>6.电力交易政策、信息交流服务：成交人须每月月底按采购方要求针对市场基准价（日前用户侧综合价格）及电力市场化交易相关资料向采购人进行反馈，同时根据采购方要求及时为其解决有关电力结算出现的问题。</w:t>
      </w:r>
    </w:p>
    <w:p>
      <w:pPr>
        <w:spacing w:line="360" w:lineRule="auto"/>
        <w:ind w:firstLine="480" w:firstLineChars="200"/>
        <w:rPr>
          <w:rFonts w:ascii="仿宋" w:hAnsi="仿宋" w:cs="仿宋"/>
          <w:bCs/>
          <w:szCs w:val="24"/>
        </w:rPr>
      </w:pPr>
      <w:r>
        <w:rPr>
          <w:rFonts w:hint="eastAsia" w:ascii="仿宋" w:hAnsi="仿宋" w:cs="仿宋"/>
          <w:bCs/>
          <w:szCs w:val="24"/>
        </w:rPr>
        <w:t>7.昆明电力交易中心收取的电力交易服务费由成交人承担。</w:t>
      </w:r>
    </w:p>
    <w:p>
      <w:pPr>
        <w:spacing w:line="360" w:lineRule="auto"/>
        <w:ind w:firstLine="480" w:firstLineChars="200"/>
        <w:rPr>
          <w:rFonts w:ascii="仿宋" w:hAnsi="仿宋" w:cs="仿宋"/>
          <w:bCs/>
          <w:szCs w:val="24"/>
        </w:rPr>
      </w:pPr>
      <w:r>
        <w:rPr>
          <w:rFonts w:hint="eastAsia" w:ascii="仿宋" w:hAnsi="仿宋" w:cs="仿宋"/>
          <w:bCs/>
          <w:szCs w:val="24"/>
        </w:rPr>
        <w:t>（六）服务履行期限：2026年9月1日—2027年12月31日</w:t>
      </w:r>
    </w:p>
    <w:p>
      <w:pPr>
        <w:spacing w:line="360" w:lineRule="auto"/>
        <w:ind w:firstLine="480" w:firstLineChars="200"/>
        <w:rPr>
          <w:rFonts w:ascii="仿宋" w:hAnsi="仿宋" w:cs="仿宋"/>
          <w:bCs/>
          <w:szCs w:val="24"/>
        </w:rPr>
      </w:pPr>
      <w:r>
        <w:rPr>
          <w:rFonts w:hint="eastAsia" w:ascii="仿宋" w:hAnsi="仿宋" w:cs="仿宋"/>
          <w:bCs/>
          <w:szCs w:val="24"/>
        </w:rPr>
        <w:t>（七）服务质量要求：符合国家及云南省电力行业现行有效的相关标准及法规政策，满足采购人实际要求。</w:t>
      </w:r>
    </w:p>
    <w:p>
      <w:pPr>
        <w:spacing w:line="360" w:lineRule="auto"/>
        <w:ind w:firstLine="480" w:firstLineChars="200"/>
        <w:rPr>
          <w:rFonts w:ascii="仿宋" w:hAnsi="仿宋" w:cs="仿宋"/>
          <w:b/>
          <w:sz w:val="28"/>
          <w:szCs w:val="28"/>
        </w:rPr>
      </w:pPr>
      <w:r>
        <w:rPr>
          <w:rFonts w:hint="eastAsia" w:ascii="仿宋" w:hAnsi="仿宋" w:cs="仿宋"/>
          <w:bCs/>
          <w:szCs w:val="24"/>
        </w:rPr>
        <w:t>（八）本项目不接受联合体报价。</w:t>
      </w:r>
    </w:p>
    <w:p>
      <w:pPr>
        <w:pStyle w:val="3"/>
      </w:pPr>
      <w:r>
        <w:rPr>
          <w:rFonts w:hint="eastAsia"/>
        </w:rPr>
        <w:t>二、供应商资格要求</w:t>
      </w:r>
    </w:p>
    <w:p>
      <w:pPr>
        <w:spacing w:line="360" w:lineRule="auto"/>
        <w:ind w:firstLine="480" w:firstLineChars="200"/>
        <w:contextualSpacing/>
        <w:rPr>
          <w:rFonts w:ascii="仿宋" w:hAnsi="仿宋" w:cs="仿宋"/>
          <w:bCs/>
          <w:szCs w:val="24"/>
        </w:rPr>
      </w:pPr>
      <w:r>
        <w:rPr>
          <w:rFonts w:hint="eastAsia" w:ascii="仿宋" w:hAnsi="仿宋" w:cs="仿宋"/>
          <w:bCs/>
          <w:szCs w:val="24"/>
        </w:rPr>
        <w:t xml:space="preserve">（一）供应商具有独立承担民事责任的能力，具有承担本项目服务的能力；供应商须在中华人民共和国境内注册，提供有效的营业执照和法人身份等证明文件，所执营业执照涵盖范围须具备电力购销、电能服务等； </w:t>
      </w:r>
    </w:p>
    <w:p>
      <w:pPr>
        <w:spacing w:line="360" w:lineRule="auto"/>
        <w:ind w:firstLine="480" w:firstLineChars="200"/>
        <w:contextualSpacing/>
        <w:rPr>
          <w:rFonts w:ascii="仿宋" w:hAnsi="仿宋" w:cs="仿宋"/>
          <w:bCs/>
          <w:szCs w:val="24"/>
        </w:rPr>
      </w:pPr>
      <w:r>
        <w:rPr>
          <w:rFonts w:hint="eastAsia" w:ascii="仿宋" w:hAnsi="仿宋" w:cs="仿宋"/>
          <w:bCs/>
          <w:szCs w:val="24"/>
        </w:rPr>
        <w:t>（二）</w:t>
      </w:r>
      <w:r>
        <w:rPr>
          <w:rFonts w:hint="eastAsia" w:ascii="仿宋" w:hAnsi="仿宋" w:cs="仿宋"/>
          <w:bCs/>
          <w:color w:val="000000" w:themeColor="text1"/>
          <w:szCs w:val="24"/>
        </w:rPr>
        <w:t>供应商具备云南省电力市场化交易资格，且属于昆明电力交易中心公布售电公司名单范围内</w:t>
      </w:r>
      <w:r>
        <w:rPr>
          <w:rFonts w:hint="eastAsia" w:ascii="仿宋" w:hAnsi="仿宋" w:cs="仿宋"/>
          <w:bCs/>
          <w:szCs w:val="24"/>
        </w:rPr>
        <w:t>；</w:t>
      </w:r>
    </w:p>
    <w:p>
      <w:pPr>
        <w:spacing w:line="360" w:lineRule="auto"/>
        <w:ind w:firstLine="480" w:firstLineChars="200"/>
        <w:contextualSpacing/>
        <w:rPr>
          <w:rFonts w:ascii="仿宋" w:hAnsi="仿宋" w:cs="仿宋"/>
          <w:bCs/>
          <w:szCs w:val="24"/>
        </w:rPr>
      </w:pPr>
      <w:r>
        <w:rPr>
          <w:rFonts w:hint="eastAsia" w:ascii="仿宋" w:hAnsi="仿宋" w:cs="仿宋"/>
          <w:bCs/>
          <w:szCs w:val="24"/>
        </w:rPr>
        <w:t>（三）供应商未被国家企业信用信息公示系统（www.gsxt.gov.cn）和“信用中国”网站（www.creditchina.gov.cn)列入严重违法失信企业、失信被执行人名单、未被昆明电力交易中心列入失信行为曝光名单；</w:t>
      </w:r>
    </w:p>
    <w:p>
      <w:pPr>
        <w:spacing w:line="360" w:lineRule="auto"/>
        <w:ind w:firstLine="480" w:firstLineChars="200"/>
        <w:contextualSpacing/>
        <w:rPr>
          <w:rFonts w:ascii="仿宋" w:hAnsi="仿宋" w:cs="仿宋"/>
          <w:bCs/>
          <w:szCs w:val="24"/>
        </w:rPr>
      </w:pPr>
      <w:r>
        <w:rPr>
          <w:rFonts w:hint="eastAsia" w:ascii="仿宋" w:hAnsi="仿宋" w:cs="仿宋"/>
          <w:bCs/>
          <w:szCs w:val="24"/>
        </w:rPr>
        <w:t>（四）</w:t>
      </w:r>
      <w:bookmarkStart w:id="19" w:name="OLE_LINK1"/>
      <w:bookmarkStart w:id="20" w:name="OLE_LINK2"/>
      <w:bookmarkStart w:id="21" w:name="OLE_LINK18"/>
      <w:r>
        <w:rPr>
          <w:rFonts w:hint="eastAsia" w:ascii="仿宋" w:hAnsi="仿宋" w:cs="仿宋"/>
          <w:bCs/>
          <w:color w:val="FF0000"/>
          <w:szCs w:val="24"/>
        </w:rPr>
        <w:t>供应商</w:t>
      </w:r>
      <w:r>
        <w:rPr>
          <w:rFonts w:hint="eastAsia"/>
          <w:color w:val="FF0000"/>
        </w:rPr>
        <w:t>人员配备具有中国电力企业联合会颁发的电力行业职业能力证书（电力交易员高级）</w:t>
      </w:r>
      <w:bookmarkEnd w:id="19"/>
      <w:bookmarkEnd w:id="20"/>
      <w:bookmarkEnd w:id="21"/>
      <w:r>
        <w:rPr>
          <w:rFonts w:hint="eastAsia" w:ascii="仿宋" w:hAnsi="仿宋" w:cs="仿宋"/>
          <w:bCs/>
          <w:szCs w:val="24"/>
        </w:rPr>
        <w:t>；</w:t>
      </w:r>
    </w:p>
    <w:p>
      <w:pPr>
        <w:spacing w:line="360" w:lineRule="auto"/>
        <w:ind w:firstLine="480" w:firstLineChars="200"/>
        <w:contextualSpacing/>
        <w:rPr>
          <w:rFonts w:ascii="仿宋" w:hAnsi="仿宋" w:cs="仿宋"/>
          <w:bCs/>
          <w:szCs w:val="24"/>
        </w:rPr>
      </w:pPr>
      <w:r>
        <w:rPr>
          <w:rFonts w:hint="eastAsia" w:ascii="仿宋" w:hAnsi="仿宋" w:cs="仿宋"/>
          <w:bCs/>
          <w:szCs w:val="24"/>
        </w:rPr>
        <w:t>（五）</w:t>
      </w:r>
      <w:r>
        <w:rPr>
          <w:rFonts w:hint="eastAsia" w:ascii="仿宋" w:hAnsi="仿宋" w:cs="仿宋"/>
          <w:bCs/>
          <w:color w:val="FF0000"/>
          <w:szCs w:val="24"/>
        </w:rPr>
        <w:t>近三年此类服务项目案例，且不少于5份同等规模业绩合同证明及交易记录。</w:t>
      </w:r>
    </w:p>
    <w:p>
      <w:pPr>
        <w:spacing w:line="360" w:lineRule="auto"/>
        <w:ind w:firstLine="480" w:firstLineChars="200"/>
        <w:contextualSpacing/>
        <w:rPr>
          <w:rFonts w:ascii="仿宋" w:hAnsi="仿宋" w:cs="仿宋"/>
          <w:bCs/>
          <w:szCs w:val="24"/>
        </w:rPr>
      </w:pPr>
      <w:r>
        <w:rPr>
          <w:rFonts w:hint="eastAsia" w:ascii="仿宋" w:hAnsi="仿宋" w:cs="仿宋"/>
          <w:bCs/>
          <w:szCs w:val="24"/>
        </w:rPr>
        <w:t>（六）</w:t>
      </w:r>
      <w:bookmarkStart w:id="22" w:name="OLE_LINK20"/>
      <w:bookmarkStart w:id="23" w:name="OLE_LINK19"/>
      <w:r>
        <w:rPr>
          <w:rFonts w:hint="eastAsia" w:ascii="仿宋" w:hAnsi="仿宋" w:cs="仿宋"/>
          <w:bCs/>
          <w:szCs w:val="24"/>
        </w:rPr>
        <w:t>提供在</w:t>
      </w:r>
      <w:bookmarkStart w:id="24" w:name="OLE_LINK27"/>
      <w:bookmarkStart w:id="25" w:name="OLE_LINK21"/>
      <w:r>
        <w:rPr>
          <w:rFonts w:hint="eastAsia" w:ascii="仿宋" w:hAnsi="仿宋" w:cs="仿宋"/>
          <w:bCs/>
          <w:szCs w:val="24"/>
        </w:rPr>
        <w:t>昆明电力交易中心年度</w:t>
      </w:r>
      <w:bookmarkEnd w:id="24"/>
      <w:bookmarkEnd w:id="25"/>
      <w:r>
        <w:rPr>
          <w:rFonts w:hint="eastAsia" w:ascii="仿宋" w:hAnsi="仿宋" w:cs="仿宋"/>
          <w:bCs/>
          <w:szCs w:val="24"/>
        </w:rPr>
        <w:t>银行履约保函（保险）的证明材料</w:t>
      </w:r>
      <w:bookmarkEnd w:id="22"/>
      <w:bookmarkEnd w:id="23"/>
      <w:r>
        <w:rPr>
          <w:rFonts w:hint="eastAsia" w:ascii="仿宋" w:hAnsi="仿宋" w:cs="仿宋"/>
          <w:bCs/>
          <w:szCs w:val="24"/>
        </w:rPr>
        <w:t>；</w:t>
      </w:r>
    </w:p>
    <w:p>
      <w:pPr>
        <w:spacing w:line="360" w:lineRule="auto"/>
        <w:ind w:firstLine="480" w:firstLineChars="200"/>
        <w:contextualSpacing/>
        <w:rPr>
          <w:rFonts w:ascii="仿宋" w:hAnsi="仿宋" w:cs="仿宋"/>
          <w:bCs/>
          <w:color w:val="FF0000"/>
          <w:szCs w:val="24"/>
        </w:rPr>
      </w:pPr>
      <w:r>
        <w:rPr>
          <w:rFonts w:hint="eastAsia" w:ascii="仿宋" w:hAnsi="仿宋" w:cs="仿宋"/>
          <w:bCs/>
          <w:color w:val="FF0000"/>
          <w:szCs w:val="24"/>
        </w:rPr>
        <w:t>（七）财务要求：</w:t>
      </w:r>
      <w:bookmarkStart w:id="26" w:name="OLE_LINK28"/>
      <w:bookmarkStart w:id="27" w:name="OLE_LINK29"/>
      <w:bookmarkStart w:id="28" w:name="OLE_LINK30"/>
      <w:r>
        <w:rPr>
          <w:rFonts w:hint="eastAsia" w:ascii="仿宋" w:hAnsi="仿宋" w:cs="仿宋"/>
          <w:bCs/>
          <w:color w:val="FF0000"/>
          <w:szCs w:val="24"/>
        </w:rPr>
        <w:t>供应商具有良好的财务状况，具备（2023年、2024年、2025年）的财务报表或审计报告（2023年以后成立的公司，则需提供其企业成立至今的财务报表或审计报告；成立不足一年的，提供财务状况良好的承诺书）</w:t>
      </w:r>
      <w:bookmarkEnd w:id="26"/>
      <w:bookmarkEnd w:id="27"/>
      <w:bookmarkEnd w:id="28"/>
      <w:r>
        <w:rPr>
          <w:rFonts w:hint="eastAsia" w:ascii="仿宋" w:hAnsi="仿宋" w:cs="仿宋"/>
          <w:bCs/>
          <w:color w:val="FF0000"/>
          <w:szCs w:val="24"/>
        </w:rPr>
        <w:t>。</w:t>
      </w:r>
    </w:p>
    <w:p>
      <w:pPr>
        <w:spacing w:line="360" w:lineRule="auto"/>
        <w:ind w:firstLine="480" w:firstLineChars="200"/>
        <w:contextualSpacing/>
        <w:rPr>
          <w:rFonts w:ascii="仿宋" w:hAnsi="仿宋" w:cs="仿宋"/>
          <w:bCs/>
          <w:szCs w:val="24"/>
        </w:rPr>
      </w:pPr>
      <w:r>
        <w:rPr>
          <w:rFonts w:hint="eastAsia" w:ascii="仿宋" w:hAnsi="仿宋" w:cs="仿宋"/>
          <w:bCs/>
          <w:szCs w:val="24"/>
        </w:rPr>
        <w:t>（八）本项目不得进行转让、分包，一经发现，取消资格。</w:t>
      </w:r>
      <w:bookmarkEnd w:id="12"/>
    </w:p>
    <w:p>
      <w:pPr>
        <w:pStyle w:val="3"/>
      </w:pPr>
      <w:r>
        <w:rPr>
          <w:rFonts w:hint="eastAsia"/>
        </w:rPr>
        <w:t>三、获取采购文件</w:t>
      </w:r>
    </w:p>
    <w:p>
      <w:pPr>
        <w:spacing w:line="360" w:lineRule="auto"/>
        <w:ind w:firstLine="480" w:firstLineChars="200"/>
        <w:rPr>
          <w:rFonts w:ascii="仿宋" w:hAnsi="仿宋" w:cs="仿宋"/>
          <w:bCs/>
          <w:szCs w:val="24"/>
        </w:rPr>
      </w:pPr>
      <w:r>
        <w:rPr>
          <w:rFonts w:hint="eastAsia" w:ascii="仿宋" w:hAnsi="仿宋" w:cs="仿宋"/>
          <w:bCs/>
          <w:szCs w:val="24"/>
        </w:rPr>
        <w:t>（</w:t>
      </w:r>
      <w:bookmarkStart w:id="29" w:name="OLE_LINK23"/>
      <w:bookmarkStart w:id="30" w:name="OLE_LINK24"/>
      <w:r>
        <w:rPr>
          <w:rFonts w:hint="eastAsia" w:ascii="仿宋" w:hAnsi="仿宋" w:cs="仿宋"/>
          <w:bCs/>
          <w:szCs w:val="24"/>
        </w:rPr>
        <w:t>一）获取采购文件时间：2026年8月14 日至2026年8月20 日。</w:t>
      </w:r>
    </w:p>
    <w:p>
      <w:pPr>
        <w:spacing w:line="360" w:lineRule="auto"/>
        <w:ind w:firstLine="480" w:firstLineChars="200"/>
        <w:rPr>
          <w:rFonts w:ascii="仿宋" w:hAnsi="仿宋" w:cs="仿宋"/>
          <w:bCs/>
          <w:szCs w:val="24"/>
        </w:rPr>
      </w:pPr>
      <w:r>
        <w:rPr>
          <w:rFonts w:hint="eastAsia" w:ascii="仿宋" w:hAnsi="仿宋" w:cs="仿宋"/>
          <w:bCs/>
          <w:szCs w:val="24"/>
        </w:rPr>
        <w:t>（二）获取采购文件方式：云南省国资阳光采购平台注册报名获取。</w:t>
      </w:r>
    </w:p>
    <w:p>
      <w:pPr>
        <w:pStyle w:val="3"/>
      </w:pPr>
      <w:r>
        <w:rPr>
          <w:rFonts w:hint="eastAsia"/>
        </w:rPr>
        <w:t>四、提交响应文件截止时间、谈判开始时间和地点</w:t>
      </w:r>
    </w:p>
    <w:p>
      <w:pPr>
        <w:spacing w:line="360" w:lineRule="auto"/>
        <w:ind w:firstLine="480" w:firstLineChars="200"/>
        <w:rPr>
          <w:rFonts w:ascii="仿宋" w:hAnsi="仿宋" w:cs="仿宋"/>
          <w:bCs/>
          <w:szCs w:val="24"/>
        </w:rPr>
      </w:pPr>
      <w:r>
        <w:rPr>
          <w:rFonts w:hint="eastAsia" w:ascii="仿宋" w:hAnsi="仿宋" w:cs="仿宋"/>
          <w:bCs/>
          <w:szCs w:val="24"/>
        </w:rPr>
        <w:t>（一）响应文件递交地址：云南昆钢资产经营有限公司（云南省安宁市金方街道昆钢向阳东路98号）。</w:t>
      </w:r>
    </w:p>
    <w:p>
      <w:pPr>
        <w:spacing w:line="360" w:lineRule="auto"/>
        <w:ind w:firstLine="480" w:firstLineChars="200"/>
        <w:rPr>
          <w:rFonts w:ascii="仿宋" w:hAnsi="仿宋" w:cs="仿宋"/>
          <w:bCs/>
          <w:szCs w:val="24"/>
        </w:rPr>
      </w:pPr>
      <w:r>
        <w:rPr>
          <w:rFonts w:hint="eastAsia" w:ascii="仿宋" w:hAnsi="仿宋" w:cs="仿宋"/>
          <w:bCs/>
          <w:szCs w:val="24"/>
        </w:rPr>
        <w:t>（二）响应文件递交截止时间：2026年8月20 日 15时00 分，逾期送达恕不接收。</w:t>
      </w:r>
    </w:p>
    <w:p>
      <w:pPr>
        <w:spacing w:line="360" w:lineRule="auto"/>
        <w:ind w:firstLine="480" w:firstLineChars="200"/>
        <w:rPr>
          <w:rFonts w:ascii="仿宋" w:hAnsi="仿宋" w:cs="仿宋"/>
          <w:bCs/>
          <w:szCs w:val="24"/>
        </w:rPr>
      </w:pPr>
      <w:r>
        <w:rPr>
          <w:rFonts w:hint="eastAsia" w:ascii="仿宋" w:hAnsi="仿宋" w:cs="仿宋"/>
          <w:bCs/>
          <w:szCs w:val="24"/>
        </w:rPr>
        <w:t>（三）采购谈判开始时间：2026年8月20 日15时 00分</w:t>
      </w:r>
      <w:bookmarkEnd w:id="29"/>
      <w:bookmarkEnd w:id="30"/>
      <w:r>
        <w:rPr>
          <w:rFonts w:hint="eastAsia" w:ascii="仿宋" w:hAnsi="仿宋" w:cs="仿宋"/>
          <w:bCs/>
          <w:szCs w:val="24"/>
        </w:rPr>
        <w:t>。</w:t>
      </w:r>
    </w:p>
    <w:p>
      <w:pPr>
        <w:spacing w:line="360" w:lineRule="auto"/>
        <w:ind w:firstLine="480" w:firstLineChars="200"/>
        <w:rPr>
          <w:rFonts w:ascii="仿宋" w:hAnsi="仿宋" w:cs="仿宋"/>
          <w:bCs/>
          <w:szCs w:val="24"/>
        </w:rPr>
      </w:pPr>
      <w:r>
        <w:rPr>
          <w:rFonts w:hint="eastAsia" w:ascii="仿宋" w:hAnsi="仿宋" w:cs="仿宋"/>
          <w:bCs/>
          <w:szCs w:val="24"/>
        </w:rPr>
        <w:t>（四）谈判采购地点：云南昆钢资产经营有限公司</w:t>
      </w:r>
    </w:p>
    <w:p>
      <w:pPr>
        <w:spacing w:line="360" w:lineRule="auto"/>
        <w:ind w:firstLine="480" w:firstLineChars="200"/>
        <w:rPr>
          <w:rFonts w:ascii="仿宋" w:hAnsi="仿宋" w:cs="仿宋"/>
          <w:bCs/>
          <w:szCs w:val="24"/>
        </w:rPr>
      </w:pPr>
      <w:r>
        <w:rPr>
          <w:rFonts w:hint="eastAsia" w:ascii="仿宋" w:hAnsi="仿宋" w:cs="仿宋"/>
          <w:bCs/>
          <w:szCs w:val="24"/>
        </w:rPr>
        <w:t>（五）采购联系方式</w:t>
      </w:r>
    </w:p>
    <w:p>
      <w:pPr>
        <w:spacing w:line="360" w:lineRule="auto"/>
        <w:ind w:firstLine="480" w:firstLineChars="200"/>
        <w:rPr>
          <w:rFonts w:ascii="仿宋" w:hAnsi="仿宋" w:cs="仿宋"/>
          <w:bCs/>
          <w:szCs w:val="24"/>
        </w:rPr>
      </w:pPr>
      <w:r>
        <w:rPr>
          <w:rFonts w:hint="eastAsia" w:ascii="仿宋" w:hAnsi="仿宋" w:cs="仿宋"/>
          <w:bCs/>
          <w:szCs w:val="24"/>
        </w:rPr>
        <w:t>项目联系人：孙亚婷</w:t>
      </w:r>
    </w:p>
    <w:p>
      <w:pPr>
        <w:spacing w:line="360" w:lineRule="auto"/>
        <w:ind w:firstLine="480" w:firstLineChars="200"/>
        <w:rPr>
          <w:rFonts w:ascii="仿宋" w:hAnsi="仿宋" w:cs="仿宋"/>
          <w:bCs/>
          <w:szCs w:val="24"/>
        </w:rPr>
      </w:pPr>
      <w:r>
        <w:rPr>
          <w:rFonts w:hint="eastAsia" w:ascii="仿宋" w:hAnsi="仿宋" w:cs="仿宋"/>
          <w:bCs/>
          <w:szCs w:val="24"/>
        </w:rPr>
        <w:t>联系电话：13708794059</w:t>
      </w:r>
    </w:p>
    <w:p>
      <w:pPr>
        <w:spacing w:line="360" w:lineRule="auto"/>
        <w:rPr>
          <w:rFonts w:ascii="仿宋" w:hAnsi="仿宋" w:cs="仿宋"/>
          <w:b/>
          <w:szCs w:val="24"/>
        </w:rPr>
      </w:pPr>
      <w:r>
        <w:rPr>
          <w:rFonts w:hint="eastAsia" w:ascii="仿宋" w:hAnsi="仿宋" w:cs="仿宋"/>
          <w:b/>
          <w:szCs w:val="24"/>
        </w:rPr>
        <w:t>五、公告期限</w:t>
      </w:r>
    </w:p>
    <w:p>
      <w:pPr>
        <w:spacing w:line="360" w:lineRule="auto"/>
        <w:ind w:firstLine="480" w:firstLineChars="200"/>
        <w:rPr>
          <w:rFonts w:ascii="仿宋" w:hAnsi="仿宋" w:cs="仿宋"/>
          <w:bCs/>
          <w:szCs w:val="24"/>
        </w:rPr>
      </w:pPr>
      <w:r>
        <w:rPr>
          <w:rFonts w:hint="eastAsia" w:ascii="仿宋" w:hAnsi="仿宋" w:cs="仿宋"/>
          <w:bCs/>
          <w:szCs w:val="24"/>
        </w:rPr>
        <w:t>自本公告发布之日起5个工作日。</w:t>
      </w:r>
    </w:p>
    <w:p>
      <w:pPr>
        <w:spacing w:line="360" w:lineRule="auto"/>
        <w:rPr>
          <w:rFonts w:ascii="仿宋" w:hAnsi="仿宋" w:cs="仿宋"/>
          <w:b/>
          <w:szCs w:val="24"/>
        </w:rPr>
      </w:pPr>
    </w:p>
    <w:p>
      <w:pPr>
        <w:pStyle w:val="6"/>
        <w:spacing w:line="360" w:lineRule="auto"/>
        <w:rPr>
          <w:rFonts w:ascii="仿宋" w:hAnsi="仿宋" w:cs="仿宋"/>
          <w:szCs w:val="24"/>
        </w:rPr>
        <w:sectPr>
          <w:footerReference r:id="rId4" w:type="default"/>
          <w:pgSz w:w="11920" w:h="16840"/>
          <w:pgMar w:top="1247" w:right="1247" w:bottom="1247" w:left="1247" w:header="0" w:footer="784" w:gutter="0"/>
          <w:cols w:space="720" w:num="1"/>
        </w:sectPr>
      </w:pPr>
    </w:p>
    <w:p>
      <w:pPr>
        <w:pStyle w:val="2"/>
        <w:rPr>
          <w:rFonts w:ascii="仿宋" w:hAnsi="仿宋" w:cs="仿宋"/>
        </w:rPr>
      </w:pPr>
      <w:bookmarkStart w:id="31" w:name="_Toc482297981"/>
      <w:bookmarkStart w:id="32" w:name="_Toc241563306"/>
      <w:bookmarkStart w:id="33" w:name="_Toc5057"/>
      <w:bookmarkStart w:id="34" w:name="_Toc3531"/>
      <w:bookmarkStart w:id="35" w:name="_Toc196053196"/>
      <w:bookmarkStart w:id="36" w:name="_Toc235335429"/>
      <w:bookmarkStart w:id="37" w:name="_Toc235335543"/>
      <w:bookmarkStart w:id="38" w:name="_Toc141063298"/>
      <w:bookmarkStart w:id="39" w:name="OLE_LINK43"/>
      <w:bookmarkStart w:id="40" w:name="OLE_LINK8"/>
      <w:r>
        <w:rPr>
          <w:rFonts w:hint="eastAsia" w:ascii="仿宋" w:hAnsi="仿宋" w:cs="仿宋"/>
        </w:rPr>
        <w:t>第二章 供应商须知</w:t>
      </w:r>
      <w:bookmarkEnd w:id="31"/>
      <w:bookmarkEnd w:id="32"/>
      <w:bookmarkEnd w:id="33"/>
      <w:bookmarkEnd w:id="34"/>
      <w:bookmarkEnd w:id="35"/>
      <w:bookmarkEnd w:id="36"/>
      <w:bookmarkEnd w:id="37"/>
      <w:bookmarkEnd w:id="38"/>
      <w:bookmarkStart w:id="41" w:name="_Toc235335544"/>
      <w:bookmarkStart w:id="42" w:name="_Toc235335430"/>
      <w:bookmarkStart w:id="43" w:name="_Toc241563307"/>
    </w:p>
    <w:bookmarkEnd w:id="41"/>
    <w:bookmarkEnd w:id="42"/>
    <w:bookmarkEnd w:id="43"/>
    <w:p>
      <w:pPr>
        <w:spacing w:line="360" w:lineRule="auto"/>
        <w:rPr>
          <w:rFonts w:ascii="仿宋" w:hAnsi="仿宋" w:cs="仿宋"/>
          <w:b/>
          <w:szCs w:val="24"/>
        </w:rPr>
      </w:pPr>
      <w:bookmarkStart w:id="44" w:name="_Toc479498301"/>
      <w:bookmarkStart w:id="45" w:name="_Toc179632545"/>
      <w:bookmarkStart w:id="46" w:name="_Toc152045528"/>
      <w:bookmarkStart w:id="47" w:name="_Toc452039971"/>
      <w:bookmarkStart w:id="48" w:name="_Toc152042304"/>
      <w:bookmarkStart w:id="49" w:name="_Toc57280584"/>
      <w:bookmarkStart w:id="50" w:name="_Toc144974496"/>
      <w:bookmarkStart w:id="51" w:name="_Toc233102491"/>
      <w:r>
        <w:rPr>
          <w:rFonts w:hint="eastAsia" w:ascii="仿宋" w:hAnsi="仿宋" w:cs="仿宋"/>
          <w:b/>
          <w:szCs w:val="24"/>
        </w:rPr>
        <w:t>一、供应商须知前附表</w:t>
      </w:r>
      <w:bookmarkEnd w:id="44"/>
      <w:bookmarkEnd w:id="45"/>
      <w:bookmarkEnd w:id="46"/>
      <w:bookmarkEnd w:id="47"/>
      <w:bookmarkEnd w:id="48"/>
      <w:bookmarkEnd w:id="49"/>
      <w:bookmarkEnd w:id="50"/>
      <w:bookmarkEnd w:id="51"/>
    </w:p>
    <w:tbl>
      <w:tblPr>
        <w:tblStyle w:val="16"/>
        <w:tblW w:w="95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449"/>
        <w:gridCol w:w="7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序号</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条款名称</w:t>
            </w:r>
          </w:p>
        </w:tc>
        <w:tc>
          <w:tcPr>
            <w:tcW w:w="7364" w:type="dxa"/>
            <w:vAlign w:val="center"/>
          </w:tcPr>
          <w:p>
            <w:pPr>
              <w:spacing w:line="264" w:lineRule="auto"/>
              <w:contextualSpacing/>
              <w:jc w:val="center"/>
              <w:rPr>
                <w:rFonts w:ascii="仿宋" w:hAnsi="仿宋" w:cs="仿宋"/>
                <w:szCs w:val="24"/>
              </w:rPr>
            </w:pPr>
            <w:r>
              <w:rPr>
                <w:rFonts w:hint="eastAsia" w:ascii="仿宋" w:hAnsi="仿宋" w:cs="仿宋"/>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1</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采购方式</w:t>
            </w:r>
          </w:p>
        </w:tc>
        <w:tc>
          <w:tcPr>
            <w:tcW w:w="7364" w:type="dxa"/>
            <w:vAlign w:val="center"/>
          </w:tcPr>
          <w:p>
            <w:pPr>
              <w:spacing w:line="264" w:lineRule="auto"/>
              <w:contextualSpacing/>
              <w:rPr>
                <w:rFonts w:ascii="仿宋" w:hAnsi="仿宋" w:cs="仿宋"/>
                <w:szCs w:val="24"/>
              </w:rPr>
            </w:pPr>
            <w:r>
              <w:rPr>
                <w:rFonts w:hint="eastAsia" w:ascii="仿宋" w:hAnsi="仿宋" w:cs="仿宋"/>
                <w:szCs w:val="24"/>
              </w:rPr>
              <w:t>谈判采购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2</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信息发布媒体</w:t>
            </w:r>
          </w:p>
        </w:tc>
        <w:tc>
          <w:tcPr>
            <w:tcW w:w="7364" w:type="dxa"/>
            <w:vAlign w:val="center"/>
          </w:tcPr>
          <w:p>
            <w:pPr>
              <w:spacing w:line="264" w:lineRule="auto"/>
              <w:contextualSpacing/>
              <w:rPr>
                <w:rFonts w:ascii="仿宋" w:hAnsi="仿宋" w:cs="仿宋"/>
                <w:szCs w:val="24"/>
              </w:rPr>
            </w:pPr>
            <w:r>
              <w:rPr>
                <w:rFonts w:hint="eastAsia" w:ascii="仿宋" w:hAnsi="仿宋" w:cs="仿宋"/>
                <w:bCs/>
                <w:szCs w:val="24"/>
              </w:rPr>
              <w:t>云南省国资阳光采购平台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3</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分包</w:t>
            </w:r>
          </w:p>
        </w:tc>
        <w:tc>
          <w:tcPr>
            <w:tcW w:w="7364" w:type="dxa"/>
            <w:vAlign w:val="center"/>
          </w:tcPr>
          <w:p>
            <w:pPr>
              <w:spacing w:line="264" w:lineRule="auto"/>
              <w:contextualSpacing/>
              <w:rPr>
                <w:rFonts w:ascii="仿宋" w:hAnsi="仿宋" w:cs="仿宋"/>
                <w:szCs w:val="24"/>
              </w:rPr>
            </w:pPr>
            <w:r>
              <w:rPr>
                <w:rFonts w:hint="eastAsia" w:ascii="仿宋" w:hAnsi="仿宋" w:cs="仿宋"/>
                <w:szCs w:val="24"/>
              </w:rPr>
              <w:sym w:font="Wingdings 2" w:char="0052"/>
            </w:r>
            <w:r>
              <w:rPr>
                <w:rFonts w:hint="eastAsia" w:ascii="仿宋" w:hAnsi="仿宋" w:cs="仿宋"/>
                <w:szCs w:val="24"/>
              </w:rPr>
              <w:t>不允许</w:t>
            </w:r>
          </w:p>
          <w:p>
            <w:pPr>
              <w:spacing w:line="264" w:lineRule="auto"/>
              <w:contextualSpacing/>
              <w:rPr>
                <w:rFonts w:ascii="仿宋" w:hAnsi="仿宋" w:cs="仿宋"/>
                <w:szCs w:val="24"/>
              </w:rPr>
            </w:pPr>
            <w:r>
              <w:rPr>
                <w:rFonts w:hint="eastAsia" w:ascii="仿宋" w:hAnsi="仿宋" w:cs="仿宋"/>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4</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标前澄清会</w:t>
            </w:r>
          </w:p>
        </w:tc>
        <w:tc>
          <w:tcPr>
            <w:tcW w:w="7364" w:type="dxa"/>
            <w:vAlign w:val="center"/>
          </w:tcPr>
          <w:p>
            <w:pPr>
              <w:spacing w:line="264" w:lineRule="auto"/>
              <w:contextualSpacing/>
              <w:rPr>
                <w:rFonts w:ascii="仿宋" w:hAnsi="仿宋" w:cs="仿宋"/>
                <w:szCs w:val="24"/>
              </w:rPr>
            </w:pPr>
            <w:r>
              <w:rPr>
                <w:rFonts w:hint="eastAsia" w:ascii="仿宋" w:hAnsi="仿宋" w:cs="仿宋"/>
                <w:szCs w:val="24"/>
              </w:rPr>
              <w:sym w:font="Wingdings 2" w:char="0052"/>
            </w:r>
            <w:r>
              <w:rPr>
                <w:rFonts w:hint="eastAsia" w:ascii="仿宋" w:hAnsi="仿宋" w:cs="仿宋"/>
                <w:szCs w:val="24"/>
              </w:rPr>
              <w:t>不召开</w:t>
            </w:r>
          </w:p>
          <w:p>
            <w:pPr>
              <w:spacing w:line="264" w:lineRule="auto"/>
              <w:contextualSpacing/>
              <w:rPr>
                <w:rFonts w:ascii="仿宋" w:hAnsi="仿宋" w:cs="仿宋"/>
                <w:szCs w:val="24"/>
              </w:rPr>
            </w:pPr>
            <w:r>
              <w:rPr>
                <w:rFonts w:hint="eastAsia" w:ascii="仿宋" w:hAnsi="仿宋" w:cs="仿宋"/>
                <w:szCs w:val="24"/>
              </w:rPr>
              <w:t>□召开，召开时间：召开地点：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5</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谈判采购响应文件的组成</w:t>
            </w:r>
          </w:p>
        </w:tc>
        <w:tc>
          <w:tcPr>
            <w:tcW w:w="7364" w:type="dxa"/>
            <w:vAlign w:val="center"/>
          </w:tcPr>
          <w:p>
            <w:pPr>
              <w:spacing w:line="264" w:lineRule="auto"/>
              <w:contextualSpacing/>
              <w:rPr>
                <w:rFonts w:ascii="仿宋" w:hAnsi="仿宋" w:cs="仿宋"/>
                <w:b/>
                <w:szCs w:val="24"/>
              </w:rPr>
            </w:pPr>
            <w:r>
              <w:rPr>
                <w:rFonts w:hint="eastAsia" w:ascii="仿宋" w:hAnsi="仿宋" w:cs="仿宋"/>
                <w:b/>
                <w:szCs w:val="24"/>
              </w:rPr>
              <w:t>谈判采购响应文件由以下附件内容组成包括但不限于：</w:t>
            </w:r>
          </w:p>
          <w:p>
            <w:pPr>
              <w:spacing w:line="264" w:lineRule="auto"/>
              <w:rPr>
                <w:rFonts w:ascii="仿宋" w:hAnsi="仿宋" w:cs="仿宋"/>
                <w:szCs w:val="24"/>
              </w:rPr>
            </w:pPr>
            <w:r>
              <w:rPr>
                <w:rFonts w:hint="eastAsia" w:ascii="仿宋" w:hAnsi="仿宋" w:cs="仿宋"/>
                <w:szCs w:val="24"/>
              </w:rPr>
              <w:t>附件1：报价一览表；</w:t>
            </w:r>
          </w:p>
          <w:p>
            <w:pPr>
              <w:spacing w:line="264" w:lineRule="auto"/>
              <w:rPr>
                <w:rFonts w:ascii="仿宋" w:hAnsi="仿宋" w:cs="仿宋"/>
                <w:szCs w:val="24"/>
              </w:rPr>
            </w:pPr>
            <w:r>
              <w:rPr>
                <w:rFonts w:hint="eastAsia" w:ascii="仿宋" w:hAnsi="仿宋" w:cs="仿宋"/>
                <w:szCs w:val="24"/>
              </w:rPr>
              <w:t>附件2：</w:t>
            </w:r>
            <w:r>
              <w:rPr>
                <w:rFonts w:hint="eastAsia" w:ascii="仿宋" w:hAnsi="仿宋" w:cs="仿宋"/>
                <w:bCs/>
                <w:szCs w:val="24"/>
              </w:rPr>
              <w:t>供应商须在中华人民共和国境内注册，提供有效的法人或其他组织的营业执照等证明文件，所执营业执照涵盖范围须具备电力购销、电能服务；</w:t>
            </w:r>
          </w:p>
          <w:p>
            <w:pPr>
              <w:spacing w:line="264" w:lineRule="auto"/>
              <w:rPr>
                <w:rFonts w:ascii="仿宋" w:hAnsi="仿宋" w:cs="仿宋"/>
                <w:szCs w:val="24"/>
              </w:rPr>
            </w:pPr>
            <w:r>
              <w:rPr>
                <w:rFonts w:hint="eastAsia" w:ascii="仿宋" w:hAnsi="仿宋" w:cs="仿宋"/>
                <w:szCs w:val="24"/>
              </w:rPr>
              <w:t>附件3：</w:t>
            </w:r>
            <w:r>
              <w:rPr>
                <w:rFonts w:hint="eastAsia" w:ascii="仿宋" w:hAnsi="仿宋" w:cs="仿宋"/>
                <w:bCs/>
                <w:szCs w:val="24"/>
              </w:rPr>
              <w:t>供应商具备云南省电力市场化交易资格，且属于昆明电力交易中心公布售电公司名单范围内；</w:t>
            </w:r>
          </w:p>
          <w:p>
            <w:pPr>
              <w:spacing w:line="264" w:lineRule="auto"/>
              <w:rPr>
                <w:rFonts w:ascii="仿宋" w:hAnsi="仿宋" w:cs="仿宋"/>
                <w:szCs w:val="24"/>
              </w:rPr>
            </w:pPr>
            <w:r>
              <w:rPr>
                <w:rFonts w:hint="eastAsia" w:ascii="仿宋" w:hAnsi="仿宋" w:cs="仿宋"/>
                <w:szCs w:val="24"/>
              </w:rPr>
              <w:t>附件4：供应商未被国家企业信用信息公示系统（www.gsxt.gov.cn）和“信用中国”网站（www.creditchina.gov.cn)列入严重违法失信企业、失信被执行人名单、未被昆明电力交易中心列入失信行为曝光名单；</w:t>
            </w:r>
          </w:p>
          <w:p>
            <w:pPr>
              <w:spacing w:line="264" w:lineRule="auto"/>
              <w:rPr>
                <w:rFonts w:ascii="仿宋" w:hAnsi="仿宋" w:cs="仿宋"/>
                <w:color w:val="FF0000"/>
                <w:szCs w:val="24"/>
              </w:rPr>
            </w:pPr>
            <w:r>
              <w:rPr>
                <w:rFonts w:hint="eastAsia" w:ascii="仿宋" w:hAnsi="仿宋" w:cs="仿宋"/>
                <w:color w:val="FF0000"/>
                <w:szCs w:val="24"/>
              </w:rPr>
              <w:t>附件5：</w:t>
            </w:r>
            <w:bookmarkStart w:id="52" w:name="OLE_LINK34"/>
            <w:bookmarkStart w:id="53" w:name="OLE_LINK33"/>
            <w:r>
              <w:rPr>
                <w:rFonts w:hint="eastAsia" w:ascii="仿宋" w:hAnsi="仿宋" w:cs="仿宋"/>
                <w:bCs/>
                <w:color w:val="FF0000"/>
                <w:szCs w:val="24"/>
              </w:rPr>
              <w:t>供应商人员配备具有中国电力企业联合会颁发的电力行业职业能力证书（电力交易员高级）</w:t>
            </w:r>
            <w:bookmarkEnd w:id="52"/>
            <w:bookmarkEnd w:id="53"/>
            <w:r>
              <w:rPr>
                <w:rFonts w:hint="eastAsia" w:ascii="仿宋" w:hAnsi="仿宋" w:cs="仿宋"/>
                <w:color w:val="FF0000"/>
                <w:szCs w:val="24"/>
              </w:rPr>
              <w:t>；</w:t>
            </w:r>
          </w:p>
          <w:p>
            <w:pPr>
              <w:spacing w:line="264" w:lineRule="auto"/>
              <w:rPr>
                <w:rFonts w:ascii="仿宋" w:hAnsi="仿宋" w:cs="仿宋"/>
                <w:color w:val="FF0000"/>
                <w:szCs w:val="24"/>
              </w:rPr>
            </w:pPr>
            <w:r>
              <w:rPr>
                <w:rFonts w:hint="eastAsia" w:ascii="仿宋" w:hAnsi="仿宋" w:cs="仿宋"/>
                <w:color w:val="FF0000"/>
                <w:szCs w:val="24"/>
              </w:rPr>
              <w:t>附件6：提供售电公司能±100%承担参与电力市场交易的偏差电量承诺书；</w:t>
            </w:r>
          </w:p>
          <w:p>
            <w:pPr>
              <w:spacing w:line="264" w:lineRule="auto"/>
              <w:rPr>
                <w:rFonts w:ascii="仿宋" w:hAnsi="仿宋" w:cs="仿宋"/>
                <w:color w:val="FF0000"/>
                <w:szCs w:val="24"/>
              </w:rPr>
            </w:pPr>
            <w:r>
              <w:rPr>
                <w:rFonts w:hint="eastAsia" w:ascii="仿宋" w:hAnsi="仿宋" w:cs="仿宋"/>
                <w:color w:val="FF0000"/>
                <w:szCs w:val="24"/>
              </w:rPr>
              <w:t>附件7：</w:t>
            </w:r>
            <w:r>
              <w:rPr>
                <w:rFonts w:hint="eastAsia" w:ascii="仿宋" w:hAnsi="仿宋" w:cs="仿宋"/>
                <w:bCs/>
                <w:color w:val="FF0000"/>
                <w:szCs w:val="24"/>
              </w:rPr>
              <w:t>提供在昆明电力交易中心年度银行履约保函（保险）的证明材料；</w:t>
            </w:r>
          </w:p>
          <w:p>
            <w:pPr>
              <w:spacing w:line="264" w:lineRule="auto"/>
              <w:rPr>
                <w:rFonts w:ascii="仿宋" w:hAnsi="仿宋" w:cs="仿宋"/>
                <w:color w:val="FF0000"/>
                <w:szCs w:val="24"/>
              </w:rPr>
            </w:pPr>
            <w:r>
              <w:rPr>
                <w:rFonts w:hint="eastAsia" w:ascii="仿宋" w:hAnsi="仿宋" w:cs="仿宋"/>
                <w:color w:val="FF0000"/>
                <w:szCs w:val="24"/>
              </w:rPr>
              <w:t>附件8：</w:t>
            </w:r>
            <w:r>
              <w:rPr>
                <w:rFonts w:hint="eastAsia" w:ascii="仿宋" w:hAnsi="仿宋" w:cs="仿宋"/>
                <w:bCs/>
                <w:color w:val="FF0000"/>
                <w:szCs w:val="24"/>
              </w:rPr>
              <w:t>供应商具有良好的财务状况，具备（2023年、2024年、2025年）的财务报表或审计报告（2023年以后成立的公司，则需提供其企业成立至今的财务报表或审计报告；成立不足一年的，提供财务状况良好的承诺书）</w:t>
            </w:r>
          </w:p>
          <w:p>
            <w:pPr>
              <w:spacing w:line="264" w:lineRule="auto"/>
              <w:rPr>
                <w:rFonts w:ascii="仿宋" w:hAnsi="仿宋" w:cs="仿宋"/>
                <w:color w:val="FF0000"/>
                <w:szCs w:val="24"/>
              </w:rPr>
            </w:pPr>
            <w:r>
              <w:rPr>
                <w:rFonts w:hint="eastAsia" w:ascii="仿宋" w:hAnsi="仿宋" w:cs="仿宋"/>
                <w:color w:val="FF0000"/>
                <w:szCs w:val="24"/>
              </w:rPr>
              <w:t>附件9：转让、分包承诺书；</w:t>
            </w:r>
          </w:p>
          <w:p>
            <w:pPr>
              <w:spacing w:line="264" w:lineRule="auto"/>
              <w:rPr>
                <w:rFonts w:ascii="仿宋" w:hAnsi="仿宋" w:cs="仿宋"/>
                <w:color w:val="FF0000"/>
                <w:szCs w:val="24"/>
              </w:rPr>
            </w:pPr>
            <w:r>
              <w:rPr>
                <w:rFonts w:hint="eastAsia" w:ascii="仿宋" w:hAnsi="仿宋" w:cs="仿宋"/>
                <w:color w:val="FF0000"/>
                <w:szCs w:val="24"/>
              </w:rPr>
              <w:t>附件10：参加采购项目前三年内在经营活动中没有重大违法记录的书面声明函；</w:t>
            </w:r>
          </w:p>
          <w:p>
            <w:pPr>
              <w:spacing w:line="264" w:lineRule="auto"/>
              <w:rPr>
                <w:rFonts w:ascii="仿宋" w:hAnsi="仿宋" w:cs="仿宋"/>
                <w:color w:val="FF0000"/>
                <w:szCs w:val="24"/>
              </w:rPr>
            </w:pPr>
            <w:r>
              <w:rPr>
                <w:rFonts w:hint="eastAsia" w:ascii="仿宋" w:hAnsi="仿宋" w:cs="仿宋"/>
                <w:color w:val="FF0000"/>
                <w:szCs w:val="24"/>
              </w:rPr>
              <w:t>附件11：法定代表人身份证明书；</w:t>
            </w:r>
          </w:p>
          <w:p>
            <w:pPr>
              <w:spacing w:line="264" w:lineRule="auto"/>
              <w:rPr>
                <w:rFonts w:ascii="仿宋" w:hAnsi="仿宋" w:cs="仿宋"/>
                <w:color w:val="FF0000"/>
                <w:szCs w:val="24"/>
              </w:rPr>
            </w:pPr>
            <w:r>
              <w:rPr>
                <w:rFonts w:hint="eastAsia" w:ascii="仿宋" w:hAnsi="仿宋" w:cs="仿宋"/>
                <w:color w:val="FF0000"/>
                <w:szCs w:val="24"/>
              </w:rPr>
              <w:t>附件12：授权委托书；</w:t>
            </w:r>
          </w:p>
          <w:p>
            <w:pPr>
              <w:spacing w:line="264" w:lineRule="auto"/>
              <w:rPr>
                <w:rFonts w:ascii="仿宋" w:hAnsi="仿宋" w:cs="仿宋"/>
                <w:color w:val="FF0000"/>
                <w:szCs w:val="24"/>
              </w:rPr>
            </w:pPr>
            <w:r>
              <w:rPr>
                <w:rFonts w:hint="eastAsia" w:ascii="仿宋" w:hAnsi="仿宋" w:cs="仿宋"/>
                <w:color w:val="FF0000"/>
                <w:szCs w:val="24"/>
              </w:rPr>
              <w:t>附件13：购电代理服务方案；</w:t>
            </w:r>
          </w:p>
          <w:p>
            <w:pPr>
              <w:spacing w:line="264" w:lineRule="auto"/>
              <w:rPr>
                <w:rFonts w:ascii="仿宋" w:hAnsi="仿宋" w:cs="仿宋"/>
                <w:color w:val="FF0000"/>
                <w:szCs w:val="24"/>
              </w:rPr>
            </w:pPr>
            <w:r>
              <w:rPr>
                <w:rFonts w:hint="eastAsia" w:ascii="仿宋" w:hAnsi="仿宋" w:cs="仿宋"/>
                <w:color w:val="FF0000"/>
                <w:szCs w:val="24"/>
              </w:rPr>
              <w:t>附件14：服务质量承诺及措施方案；</w:t>
            </w:r>
          </w:p>
          <w:p>
            <w:pPr>
              <w:spacing w:line="264" w:lineRule="auto"/>
              <w:rPr>
                <w:rFonts w:ascii="仿宋" w:hAnsi="仿宋" w:cs="仿宋"/>
                <w:color w:val="FF0000"/>
                <w:szCs w:val="24"/>
              </w:rPr>
            </w:pPr>
            <w:r>
              <w:rPr>
                <w:rFonts w:hint="eastAsia" w:ascii="仿宋" w:hAnsi="仿宋" w:cs="仿宋"/>
                <w:color w:val="FF0000"/>
                <w:szCs w:val="24"/>
              </w:rPr>
              <w:t>附件15：增值服务承诺；</w:t>
            </w:r>
          </w:p>
          <w:p>
            <w:pPr>
              <w:spacing w:line="264" w:lineRule="auto"/>
              <w:rPr>
                <w:rFonts w:ascii="仿宋" w:hAnsi="仿宋" w:cs="仿宋"/>
                <w:color w:val="FF0000"/>
                <w:szCs w:val="24"/>
              </w:rPr>
            </w:pPr>
            <w:r>
              <w:rPr>
                <w:rFonts w:hint="eastAsia" w:ascii="仿宋" w:hAnsi="仿宋" w:cs="仿宋"/>
                <w:color w:val="FF0000"/>
                <w:szCs w:val="24"/>
              </w:rPr>
              <w:t>附件16：电量保证能力证明材料；</w:t>
            </w:r>
          </w:p>
          <w:p>
            <w:pPr>
              <w:spacing w:line="264" w:lineRule="auto"/>
              <w:rPr>
                <w:rFonts w:ascii="仿宋" w:hAnsi="仿宋" w:cs="仿宋"/>
                <w:color w:val="FF0000"/>
                <w:szCs w:val="24"/>
              </w:rPr>
            </w:pPr>
            <w:r>
              <w:rPr>
                <w:rFonts w:hint="eastAsia" w:ascii="仿宋" w:hAnsi="仿宋" w:cs="仿宋"/>
                <w:color w:val="FF0000"/>
                <w:szCs w:val="24"/>
              </w:rPr>
              <w:t>附件17：</w:t>
            </w:r>
            <w:r>
              <w:rPr>
                <w:rFonts w:hint="eastAsia" w:ascii="仿宋" w:hAnsi="仿宋" w:cs="仿宋"/>
                <w:bCs/>
                <w:color w:val="FF0000"/>
                <w:szCs w:val="24"/>
              </w:rPr>
              <w:t>近三年此类服务项目案例，且不少于5份同等规模业绩合同证明及交易记录；</w:t>
            </w:r>
          </w:p>
          <w:p>
            <w:pPr>
              <w:spacing w:line="264" w:lineRule="auto"/>
              <w:rPr>
                <w:rFonts w:ascii="仿宋" w:hAnsi="仿宋" w:cs="仿宋"/>
                <w:szCs w:val="24"/>
              </w:rPr>
            </w:pPr>
            <w:r>
              <w:rPr>
                <w:rFonts w:hint="eastAsia" w:ascii="仿宋" w:hAnsi="仿宋" w:cs="仿宋"/>
                <w:szCs w:val="24"/>
              </w:rPr>
              <w:t>附件18：谈判采购文件要求和供应商认为需要提供的说明和资料。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6</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报价货币</w:t>
            </w:r>
          </w:p>
        </w:tc>
        <w:tc>
          <w:tcPr>
            <w:tcW w:w="7364" w:type="dxa"/>
            <w:vAlign w:val="center"/>
          </w:tcPr>
          <w:p>
            <w:pPr>
              <w:spacing w:line="264" w:lineRule="auto"/>
              <w:rPr>
                <w:rFonts w:ascii="仿宋" w:hAnsi="仿宋" w:cs="仿宋"/>
                <w:b/>
                <w:szCs w:val="24"/>
              </w:rPr>
            </w:pPr>
            <w:r>
              <w:rPr>
                <w:rFonts w:hint="eastAsia" w:ascii="仿宋" w:hAnsi="仿宋" w:cs="仿宋"/>
                <w:szCs w:val="24"/>
              </w:rPr>
              <w:t>人民币，报价到小数点后第五位，例如0.00001元/kWh。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7</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报价有效期</w:t>
            </w:r>
          </w:p>
        </w:tc>
        <w:tc>
          <w:tcPr>
            <w:tcW w:w="7364" w:type="dxa"/>
            <w:vAlign w:val="center"/>
          </w:tcPr>
          <w:p>
            <w:pPr>
              <w:spacing w:line="264" w:lineRule="auto"/>
              <w:contextualSpacing/>
              <w:rPr>
                <w:rFonts w:ascii="仿宋" w:hAnsi="仿宋" w:cs="仿宋"/>
                <w:szCs w:val="24"/>
              </w:rPr>
            </w:pPr>
            <w:r>
              <w:rPr>
                <w:rFonts w:hint="eastAsia" w:ascii="仿宋" w:hAnsi="仿宋" w:cs="仿宋"/>
                <w:szCs w:val="24"/>
              </w:rPr>
              <w:t>自递交响应文件之日起90日历天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8</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保证金及退还</w:t>
            </w:r>
          </w:p>
        </w:tc>
        <w:tc>
          <w:tcPr>
            <w:tcW w:w="7364" w:type="dxa"/>
            <w:vAlign w:val="center"/>
          </w:tcPr>
          <w:p>
            <w:pPr>
              <w:snapToGrid w:val="0"/>
              <w:spacing w:line="264" w:lineRule="auto"/>
              <w:rPr>
                <w:rFonts w:ascii="仿宋" w:hAnsi="仿宋" w:cs="仿宋"/>
                <w:szCs w:val="24"/>
              </w:rPr>
            </w:pPr>
            <w:r>
              <w:rPr>
                <w:rFonts w:hint="eastAsia" w:ascii="仿宋" w:hAnsi="仿宋" w:cs="仿宋"/>
                <w:szCs w:val="24"/>
              </w:rPr>
              <w:t>按照</w:t>
            </w:r>
            <w:r>
              <w:rPr>
                <w:rFonts w:hint="eastAsia" w:ascii="仿宋" w:hAnsi="仿宋" w:cs="仿宋"/>
                <w:bCs/>
                <w:szCs w:val="24"/>
              </w:rPr>
              <w:t>云南省国资阳光采购平台规则执行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9</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系统服务费收取</w:t>
            </w:r>
          </w:p>
        </w:tc>
        <w:tc>
          <w:tcPr>
            <w:tcW w:w="7364" w:type="dxa"/>
            <w:vAlign w:val="center"/>
          </w:tcPr>
          <w:p>
            <w:pPr>
              <w:spacing w:line="264" w:lineRule="auto"/>
              <w:contextualSpacing/>
              <w:rPr>
                <w:rFonts w:ascii="仿宋" w:hAnsi="仿宋" w:cs="仿宋"/>
                <w:szCs w:val="24"/>
              </w:rPr>
            </w:pPr>
            <w:r>
              <w:rPr>
                <w:rFonts w:hint="eastAsia" w:ascii="仿宋" w:hAnsi="仿宋" w:cs="仿宋"/>
                <w:szCs w:val="24"/>
              </w:rPr>
              <w:t>按照</w:t>
            </w:r>
            <w:r>
              <w:rPr>
                <w:rFonts w:hint="eastAsia" w:ascii="仿宋" w:hAnsi="仿宋" w:cs="仿宋"/>
                <w:bCs/>
                <w:szCs w:val="24"/>
              </w:rPr>
              <w:t>云南省国资阳光采购平台采购业务收费标准执行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10</w:t>
            </w:r>
          </w:p>
        </w:tc>
        <w:tc>
          <w:tcPr>
            <w:tcW w:w="1449" w:type="dxa"/>
            <w:vAlign w:val="center"/>
          </w:tcPr>
          <w:p>
            <w:pPr>
              <w:spacing w:line="264" w:lineRule="auto"/>
              <w:contextualSpacing/>
              <w:jc w:val="center"/>
              <w:rPr>
                <w:rFonts w:ascii="仿宋" w:hAnsi="仿宋" w:cs="仿宋"/>
                <w:szCs w:val="24"/>
              </w:rPr>
            </w:pPr>
            <w:r>
              <w:rPr>
                <w:rFonts w:hint="eastAsia" w:ascii="仿宋" w:hAnsi="仿宋" w:cs="仿宋"/>
                <w:szCs w:val="24"/>
              </w:rPr>
              <w:t>谈判采购响应文件</w:t>
            </w:r>
          </w:p>
        </w:tc>
        <w:tc>
          <w:tcPr>
            <w:tcW w:w="7364" w:type="dxa"/>
            <w:vAlign w:val="center"/>
          </w:tcPr>
          <w:p>
            <w:pPr>
              <w:spacing w:line="264" w:lineRule="auto"/>
              <w:contextualSpacing/>
              <w:rPr>
                <w:rFonts w:ascii="仿宋" w:hAnsi="仿宋" w:cs="仿宋"/>
                <w:szCs w:val="24"/>
              </w:rPr>
            </w:pPr>
            <w:r>
              <w:rPr>
                <w:rFonts w:hint="eastAsia" w:ascii="仿宋" w:hAnsi="仿宋" w:cs="仿宋"/>
                <w:szCs w:val="24"/>
              </w:rPr>
              <w:t>纸质版，正本副本各一份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vAlign w:val="center"/>
          </w:tcPr>
          <w:p>
            <w:pPr>
              <w:spacing w:line="264" w:lineRule="auto"/>
              <w:contextualSpacing/>
              <w:jc w:val="center"/>
              <w:rPr>
                <w:rFonts w:ascii="仿宋" w:hAnsi="仿宋" w:cs="仿宋"/>
                <w:szCs w:val="24"/>
              </w:rPr>
            </w:pPr>
            <w:r>
              <w:rPr>
                <w:rFonts w:hint="eastAsia" w:ascii="仿宋" w:hAnsi="仿宋" w:cs="仿宋"/>
                <w:szCs w:val="24"/>
              </w:rPr>
              <w:t>11</w:t>
            </w:r>
          </w:p>
        </w:tc>
        <w:tc>
          <w:tcPr>
            <w:tcW w:w="1449" w:type="dxa"/>
            <w:vAlign w:val="center"/>
          </w:tcPr>
          <w:p>
            <w:pPr>
              <w:adjustRightInd w:val="0"/>
              <w:snapToGrid w:val="0"/>
              <w:spacing w:line="264" w:lineRule="auto"/>
              <w:jc w:val="center"/>
              <w:rPr>
                <w:rFonts w:ascii="仿宋" w:hAnsi="仿宋" w:cs="仿宋"/>
                <w:szCs w:val="24"/>
              </w:rPr>
            </w:pPr>
            <w:r>
              <w:rPr>
                <w:rFonts w:hint="eastAsia" w:ascii="仿宋" w:hAnsi="仿宋" w:cs="仿宋"/>
                <w:szCs w:val="24"/>
              </w:rPr>
              <w:t>履约担保</w:t>
            </w:r>
          </w:p>
        </w:tc>
        <w:tc>
          <w:tcPr>
            <w:tcW w:w="7364" w:type="dxa"/>
            <w:vAlign w:val="center"/>
          </w:tcPr>
          <w:p>
            <w:pPr>
              <w:adjustRightInd w:val="0"/>
              <w:snapToGrid w:val="0"/>
              <w:spacing w:line="264" w:lineRule="auto"/>
              <w:rPr>
                <w:rFonts w:ascii="仿宋" w:hAnsi="仿宋" w:cs="仿宋"/>
                <w:szCs w:val="24"/>
              </w:rPr>
            </w:pPr>
            <w:r>
              <w:rPr>
                <w:rFonts w:hint="eastAsia" w:ascii="仿宋" w:hAnsi="仿宋" w:cs="仿宋"/>
                <w:szCs w:val="24"/>
              </w:rPr>
              <w:t>不需要</w:t>
            </w:r>
          </w:p>
        </w:tc>
      </w:tr>
    </w:tbl>
    <w:p>
      <w:pPr>
        <w:spacing w:line="360" w:lineRule="auto"/>
        <w:rPr>
          <w:rFonts w:ascii="仿宋" w:hAnsi="仿宋" w:cs="仿宋"/>
          <w:b/>
          <w:szCs w:val="24"/>
        </w:rPr>
      </w:pPr>
      <w:bookmarkStart w:id="54" w:name="_Toc57280586"/>
      <w:bookmarkStart w:id="55" w:name="_Toc179632552"/>
      <w:bookmarkStart w:id="56" w:name="_Toc31103"/>
      <w:bookmarkStart w:id="57" w:name="_Toc5886"/>
      <w:bookmarkStart w:id="58" w:name="_Toc12798"/>
      <w:bookmarkStart w:id="59" w:name="_Toc10763"/>
      <w:bookmarkStart w:id="60" w:name="_Toc452039977"/>
      <w:bookmarkStart w:id="61" w:name="_Toc152042311"/>
      <w:bookmarkStart w:id="62" w:name="_Toc152045535"/>
      <w:bookmarkStart w:id="63" w:name="_Toc20348"/>
      <w:bookmarkStart w:id="64" w:name="_Toc233102498"/>
      <w:bookmarkStart w:id="65" w:name="_Toc479498307"/>
      <w:bookmarkStart w:id="66" w:name="_Toc144974503"/>
      <w:bookmarkStart w:id="67" w:name="_Toc152045598"/>
      <w:bookmarkStart w:id="68" w:name="_Toc452040031"/>
      <w:bookmarkStart w:id="69" w:name="_Toc152042375"/>
      <w:bookmarkStart w:id="70" w:name="_Toc233102562"/>
      <w:bookmarkStart w:id="71" w:name="_Toc144974565"/>
      <w:bookmarkStart w:id="72" w:name="_Toc57280608"/>
      <w:bookmarkStart w:id="73" w:name="_Toc179632616"/>
      <w:bookmarkStart w:id="74" w:name="_Toc11093"/>
      <w:bookmarkStart w:id="75" w:name="_Toc179632618"/>
      <w:bookmarkStart w:id="76" w:name="_Toc144974567"/>
      <w:bookmarkStart w:id="77" w:name="_Toc452040032"/>
      <w:bookmarkStart w:id="78" w:name="_Toc152045600"/>
      <w:bookmarkStart w:id="79" w:name="_Toc152042377"/>
      <w:bookmarkStart w:id="80" w:name="_Toc233102564"/>
      <w:bookmarkStart w:id="81" w:name="_Toc244087768"/>
      <w:bookmarkStart w:id="82" w:name="_Toc141063331"/>
      <w:bookmarkStart w:id="83" w:name="_Toc235335553"/>
      <w:bookmarkStart w:id="84" w:name="_Toc29357076"/>
      <w:bookmarkStart w:id="85" w:name="_Toc235335439"/>
      <w:bookmarkStart w:id="86" w:name="_Toc196053204"/>
      <w:r>
        <w:rPr>
          <w:rFonts w:hint="eastAsia" w:ascii="仿宋" w:hAnsi="仿宋" w:cs="仿宋"/>
          <w:b/>
          <w:szCs w:val="24"/>
        </w:rPr>
        <w:t>二、费用承担</w:t>
      </w:r>
      <w:bookmarkEnd w:id="54"/>
      <w:bookmarkEnd w:id="55"/>
      <w:bookmarkEnd w:id="56"/>
      <w:bookmarkEnd w:id="57"/>
      <w:bookmarkEnd w:id="58"/>
      <w:bookmarkEnd w:id="59"/>
      <w:bookmarkEnd w:id="60"/>
      <w:bookmarkEnd w:id="61"/>
      <w:bookmarkEnd w:id="62"/>
      <w:bookmarkEnd w:id="63"/>
      <w:bookmarkEnd w:id="64"/>
      <w:bookmarkEnd w:id="65"/>
      <w:bookmarkEnd w:id="66"/>
    </w:p>
    <w:p>
      <w:pPr>
        <w:spacing w:line="360" w:lineRule="auto"/>
        <w:ind w:firstLine="480" w:firstLineChars="200"/>
        <w:rPr>
          <w:rFonts w:ascii="仿宋" w:hAnsi="仿宋" w:cs="仿宋"/>
        </w:rPr>
      </w:pPr>
      <w:bookmarkStart w:id="87" w:name="_Toc479498308"/>
      <w:bookmarkStart w:id="88" w:name="_Toc179632553"/>
      <w:bookmarkStart w:id="89" w:name="_Toc233102499"/>
      <w:bookmarkStart w:id="90" w:name="_Toc152045536"/>
      <w:bookmarkStart w:id="91" w:name="_Toc152042312"/>
      <w:bookmarkStart w:id="92" w:name="_Toc144974504"/>
      <w:bookmarkStart w:id="93" w:name="_Toc452039978"/>
      <w:r>
        <w:rPr>
          <w:rFonts w:hint="eastAsia" w:ascii="仿宋" w:hAnsi="仿宋" w:cs="仿宋"/>
        </w:rPr>
        <w:t>供应商均应按照</w:t>
      </w:r>
      <w:r>
        <w:rPr>
          <w:rFonts w:hint="eastAsia" w:ascii="仿宋" w:hAnsi="仿宋" w:cs="仿宋"/>
          <w:bCs/>
          <w:szCs w:val="24"/>
        </w:rPr>
        <w:t>云南省国资阳光采购平台</w:t>
      </w:r>
      <w:r>
        <w:rPr>
          <w:rFonts w:hint="eastAsia" w:ascii="仿宋" w:hAnsi="仿宋" w:cs="仿宋"/>
        </w:rPr>
        <w:t>要求自行承担所有与谈判采购活动有关的全部费用。</w:t>
      </w:r>
    </w:p>
    <w:p>
      <w:pPr>
        <w:spacing w:line="360" w:lineRule="auto"/>
        <w:rPr>
          <w:rFonts w:ascii="仿宋" w:hAnsi="仿宋" w:cs="仿宋"/>
          <w:b/>
          <w:bCs/>
        </w:rPr>
      </w:pPr>
      <w:bookmarkStart w:id="94" w:name="_Toc57280587"/>
      <w:bookmarkStart w:id="95" w:name="_Toc25835"/>
      <w:bookmarkStart w:id="96" w:name="_Toc25003"/>
      <w:bookmarkStart w:id="97" w:name="_Toc20189"/>
      <w:bookmarkStart w:id="98" w:name="_Toc15367"/>
      <w:bookmarkStart w:id="99" w:name="_Toc16963"/>
      <w:r>
        <w:rPr>
          <w:rFonts w:hint="eastAsia" w:ascii="仿宋" w:hAnsi="仿宋" w:cs="仿宋"/>
          <w:b/>
          <w:bCs/>
        </w:rPr>
        <w:t>三、保密</w:t>
      </w:r>
      <w:bookmarkEnd w:id="87"/>
      <w:bookmarkEnd w:id="88"/>
      <w:bookmarkEnd w:id="89"/>
      <w:bookmarkEnd w:id="90"/>
      <w:bookmarkEnd w:id="91"/>
      <w:bookmarkEnd w:id="92"/>
      <w:bookmarkEnd w:id="93"/>
      <w:bookmarkEnd w:id="94"/>
      <w:bookmarkEnd w:id="95"/>
      <w:bookmarkEnd w:id="96"/>
      <w:bookmarkEnd w:id="97"/>
      <w:bookmarkEnd w:id="98"/>
      <w:bookmarkEnd w:id="99"/>
    </w:p>
    <w:p>
      <w:pPr>
        <w:spacing w:line="360" w:lineRule="auto"/>
        <w:ind w:firstLine="480" w:firstLineChars="200"/>
        <w:rPr>
          <w:rFonts w:ascii="仿宋" w:hAnsi="仿宋" w:cs="仿宋"/>
        </w:rPr>
      </w:pPr>
      <w:r>
        <w:rPr>
          <w:rFonts w:hint="eastAsia" w:ascii="仿宋" w:hAnsi="仿宋" w:cs="仿宋"/>
        </w:rPr>
        <w:t xml:space="preserve">参与谈判采购的供应商应对谈判采购文件和谈判采购响应文件中的商业和技术等秘密保密，违者应对由此造成的后果承担法律责任。 </w:t>
      </w:r>
    </w:p>
    <w:p>
      <w:pPr>
        <w:spacing w:line="360" w:lineRule="auto"/>
        <w:rPr>
          <w:rFonts w:ascii="仿宋" w:hAnsi="仿宋" w:cs="仿宋"/>
          <w:b/>
          <w:bCs/>
        </w:rPr>
      </w:pPr>
      <w:bookmarkStart w:id="100" w:name="_Toc2225"/>
      <w:bookmarkStart w:id="101" w:name="_Toc479498310"/>
      <w:bookmarkStart w:id="102" w:name="_Toc25933"/>
      <w:bookmarkStart w:id="103" w:name="_Toc57280589"/>
      <w:bookmarkStart w:id="104" w:name="_Toc152042314"/>
      <w:bookmarkStart w:id="105" w:name="_Toc152045538"/>
      <w:bookmarkStart w:id="106" w:name="_Toc179632555"/>
      <w:bookmarkStart w:id="107" w:name="_Toc497"/>
      <w:bookmarkStart w:id="108" w:name="_Toc452039980"/>
      <w:bookmarkStart w:id="109" w:name="_Toc23008"/>
      <w:bookmarkStart w:id="110" w:name="_Toc233102501"/>
      <w:bookmarkStart w:id="111" w:name="_Toc144974506"/>
      <w:bookmarkStart w:id="112" w:name="_Toc2735"/>
      <w:r>
        <w:rPr>
          <w:rFonts w:hint="eastAsia" w:ascii="仿宋" w:hAnsi="仿宋" w:cs="仿宋"/>
          <w:b/>
          <w:bCs/>
        </w:rPr>
        <w:t>四、计量单位</w:t>
      </w:r>
      <w:bookmarkEnd w:id="100"/>
      <w:bookmarkEnd w:id="101"/>
      <w:bookmarkEnd w:id="102"/>
      <w:bookmarkEnd w:id="103"/>
      <w:bookmarkEnd w:id="104"/>
      <w:bookmarkEnd w:id="105"/>
      <w:bookmarkEnd w:id="106"/>
      <w:bookmarkEnd w:id="107"/>
      <w:bookmarkEnd w:id="108"/>
      <w:bookmarkEnd w:id="109"/>
      <w:bookmarkEnd w:id="110"/>
      <w:bookmarkEnd w:id="111"/>
      <w:bookmarkEnd w:id="112"/>
    </w:p>
    <w:p>
      <w:pPr>
        <w:spacing w:line="360" w:lineRule="auto"/>
        <w:ind w:firstLine="480" w:firstLineChars="200"/>
        <w:rPr>
          <w:rFonts w:ascii="仿宋" w:hAnsi="仿宋" w:cs="仿宋"/>
        </w:rPr>
      </w:pPr>
      <w:r>
        <w:rPr>
          <w:rFonts w:hint="eastAsia" w:ascii="仿宋" w:hAnsi="仿宋" w:cs="仿宋"/>
        </w:rPr>
        <w:t>所有计量均采用中华人民共和国法定计量单位。</w:t>
      </w:r>
    </w:p>
    <w:p>
      <w:pPr>
        <w:spacing w:line="360" w:lineRule="auto"/>
        <w:rPr>
          <w:rFonts w:ascii="仿宋" w:hAnsi="仿宋" w:cs="仿宋"/>
          <w:b/>
          <w:bCs/>
        </w:rPr>
      </w:pPr>
      <w:bookmarkStart w:id="113" w:name="_Toc452039981"/>
      <w:bookmarkStart w:id="114" w:name="_Toc6834"/>
      <w:bookmarkStart w:id="115" w:name="_Toc13093"/>
      <w:bookmarkStart w:id="116" w:name="_Toc57280590"/>
      <w:bookmarkStart w:id="117" w:name="_Toc479498311"/>
      <w:bookmarkStart w:id="118" w:name="_Toc903"/>
      <w:bookmarkStart w:id="119" w:name="_Toc30870"/>
      <w:bookmarkStart w:id="120" w:name="_Toc8867"/>
      <w:r>
        <w:rPr>
          <w:rFonts w:hint="eastAsia" w:ascii="仿宋" w:hAnsi="仿宋" w:cs="仿宋"/>
          <w:b/>
          <w:bCs/>
        </w:rPr>
        <w:t>五、分包</w:t>
      </w:r>
      <w:bookmarkEnd w:id="113"/>
      <w:r>
        <w:rPr>
          <w:rFonts w:hint="eastAsia" w:ascii="仿宋" w:hAnsi="仿宋" w:cs="仿宋"/>
          <w:b/>
          <w:bCs/>
        </w:rPr>
        <w:t>（本项目不允许分包）</w:t>
      </w:r>
      <w:bookmarkEnd w:id="114"/>
      <w:bookmarkEnd w:id="115"/>
      <w:bookmarkEnd w:id="116"/>
      <w:bookmarkEnd w:id="117"/>
      <w:bookmarkEnd w:id="118"/>
      <w:bookmarkEnd w:id="119"/>
      <w:bookmarkEnd w:id="120"/>
    </w:p>
    <w:p>
      <w:pPr>
        <w:spacing w:line="360" w:lineRule="auto"/>
        <w:rPr>
          <w:rFonts w:ascii="仿宋" w:hAnsi="仿宋" w:cs="仿宋"/>
          <w:b/>
          <w:bCs/>
        </w:rPr>
      </w:pPr>
      <w:bookmarkStart w:id="121" w:name="_Toc11471"/>
      <w:r>
        <w:rPr>
          <w:rFonts w:hint="eastAsia" w:ascii="仿宋" w:hAnsi="仿宋" w:cs="仿宋"/>
          <w:b/>
          <w:bCs/>
        </w:rPr>
        <w:t>六、谈判采购文件</w:t>
      </w:r>
      <w:bookmarkEnd w:id="121"/>
    </w:p>
    <w:p>
      <w:pPr>
        <w:spacing w:line="360" w:lineRule="auto"/>
        <w:ind w:firstLine="482" w:firstLineChars="200"/>
        <w:rPr>
          <w:rFonts w:ascii="仿宋" w:hAnsi="仿宋" w:cs="仿宋"/>
          <w:b/>
          <w:bCs/>
        </w:rPr>
      </w:pPr>
      <w:bookmarkStart w:id="122" w:name="_Toc179632561"/>
      <w:bookmarkStart w:id="123" w:name="_Toc479498313"/>
      <w:bookmarkStart w:id="124" w:name="_Toc152042319"/>
      <w:bookmarkStart w:id="125" w:name="_Toc144974511"/>
      <w:bookmarkStart w:id="126" w:name="_Toc452039983"/>
      <w:bookmarkStart w:id="127" w:name="_Toc233102507"/>
      <w:bookmarkStart w:id="128" w:name="_Toc152045543"/>
      <w:r>
        <w:rPr>
          <w:rFonts w:hint="eastAsia" w:ascii="仿宋" w:hAnsi="仿宋" w:cs="仿宋"/>
          <w:b/>
          <w:bCs/>
        </w:rPr>
        <w:t>（一）谈判采购文件的组成</w:t>
      </w:r>
      <w:bookmarkEnd w:id="122"/>
      <w:bookmarkEnd w:id="123"/>
      <w:bookmarkEnd w:id="124"/>
      <w:bookmarkEnd w:id="125"/>
      <w:bookmarkEnd w:id="126"/>
      <w:bookmarkEnd w:id="127"/>
      <w:bookmarkEnd w:id="128"/>
    </w:p>
    <w:p>
      <w:pPr>
        <w:spacing w:line="360" w:lineRule="auto"/>
        <w:ind w:firstLine="480" w:firstLineChars="200"/>
        <w:rPr>
          <w:rFonts w:ascii="仿宋" w:hAnsi="仿宋" w:cs="仿宋"/>
        </w:rPr>
      </w:pPr>
      <w:r>
        <w:rPr>
          <w:rFonts w:hint="eastAsia" w:ascii="仿宋" w:hAnsi="仿宋" w:cs="仿宋"/>
        </w:rPr>
        <w:t>本谈判采购文件包括：</w:t>
      </w:r>
    </w:p>
    <w:p>
      <w:pPr>
        <w:spacing w:line="360" w:lineRule="auto"/>
        <w:ind w:firstLine="480" w:firstLineChars="200"/>
        <w:rPr>
          <w:rFonts w:ascii="仿宋" w:hAnsi="仿宋" w:cs="仿宋"/>
        </w:rPr>
      </w:pPr>
      <w:r>
        <w:rPr>
          <w:rFonts w:hint="eastAsia" w:ascii="仿宋" w:hAnsi="仿宋" w:cs="仿宋"/>
          <w:bCs/>
          <w:szCs w:val="24"/>
        </w:rPr>
        <w:t>1.</w:t>
      </w:r>
      <w:r>
        <w:rPr>
          <w:rFonts w:hint="eastAsia" w:ascii="仿宋" w:hAnsi="仿宋" w:cs="仿宋"/>
        </w:rPr>
        <w:t>谈判采购项目</w:t>
      </w:r>
    </w:p>
    <w:p>
      <w:pPr>
        <w:spacing w:line="360" w:lineRule="auto"/>
        <w:ind w:firstLine="480" w:firstLineChars="200"/>
        <w:rPr>
          <w:rFonts w:ascii="仿宋" w:hAnsi="仿宋" w:cs="仿宋"/>
        </w:rPr>
      </w:pPr>
      <w:r>
        <w:rPr>
          <w:rFonts w:hint="eastAsia" w:ascii="仿宋" w:hAnsi="仿宋" w:cs="仿宋"/>
          <w:bCs/>
          <w:szCs w:val="24"/>
        </w:rPr>
        <w:t>2.</w:t>
      </w:r>
      <w:r>
        <w:rPr>
          <w:rFonts w:hint="eastAsia" w:ascii="仿宋" w:hAnsi="仿宋" w:cs="仿宋"/>
        </w:rPr>
        <w:t>供应商须知前附表及要求</w:t>
      </w:r>
    </w:p>
    <w:p>
      <w:pPr>
        <w:spacing w:line="360" w:lineRule="auto"/>
        <w:ind w:firstLine="480" w:firstLineChars="200"/>
        <w:rPr>
          <w:rFonts w:ascii="仿宋" w:hAnsi="仿宋" w:cs="仿宋"/>
        </w:rPr>
      </w:pPr>
      <w:r>
        <w:rPr>
          <w:rFonts w:hint="eastAsia" w:ascii="仿宋" w:hAnsi="仿宋" w:cs="仿宋"/>
          <w:bCs/>
          <w:szCs w:val="24"/>
        </w:rPr>
        <w:t>3.</w:t>
      </w:r>
      <w:r>
        <w:rPr>
          <w:rFonts w:hint="eastAsia" w:ascii="仿宋" w:hAnsi="仿宋" w:cs="仿宋"/>
        </w:rPr>
        <w:t>评审标准及办法</w:t>
      </w:r>
    </w:p>
    <w:p>
      <w:pPr>
        <w:spacing w:line="360" w:lineRule="auto"/>
        <w:ind w:firstLine="480" w:firstLineChars="200"/>
        <w:rPr>
          <w:rFonts w:ascii="仿宋" w:hAnsi="仿宋" w:cs="仿宋"/>
        </w:rPr>
      </w:pPr>
      <w:r>
        <w:rPr>
          <w:rFonts w:hint="eastAsia" w:ascii="仿宋" w:hAnsi="仿宋" w:cs="仿宋"/>
          <w:bCs/>
          <w:szCs w:val="24"/>
        </w:rPr>
        <w:t>4.</w:t>
      </w:r>
      <w:r>
        <w:rPr>
          <w:rFonts w:hint="eastAsia" w:ascii="仿宋" w:hAnsi="仿宋" w:cs="仿宋"/>
        </w:rPr>
        <w:t>谈判采购响应文件格式</w:t>
      </w:r>
    </w:p>
    <w:p>
      <w:pPr>
        <w:spacing w:line="360" w:lineRule="auto"/>
        <w:ind w:firstLine="482" w:firstLineChars="200"/>
        <w:rPr>
          <w:rFonts w:ascii="仿宋" w:hAnsi="仿宋" w:cs="仿宋"/>
          <w:b/>
          <w:bCs/>
        </w:rPr>
      </w:pPr>
      <w:bookmarkStart w:id="129" w:name="_Toc22552"/>
      <w:bookmarkStart w:id="130" w:name="_Toc30261"/>
      <w:bookmarkStart w:id="131" w:name="_Toc14195"/>
      <w:bookmarkStart w:id="132" w:name="_Toc1245"/>
      <w:bookmarkStart w:id="133" w:name="_Toc23964"/>
      <w:r>
        <w:rPr>
          <w:rFonts w:hint="eastAsia" w:ascii="仿宋" w:hAnsi="仿宋" w:cs="仿宋"/>
          <w:b/>
          <w:bCs/>
        </w:rPr>
        <w:t>（二）谈判采购响应文件</w:t>
      </w:r>
      <w:bookmarkEnd w:id="129"/>
      <w:bookmarkEnd w:id="130"/>
      <w:bookmarkEnd w:id="131"/>
      <w:bookmarkEnd w:id="132"/>
      <w:bookmarkEnd w:id="133"/>
    </w:p>
    <w:p>
      <w:pPr>
        <w:spacing w:line="360" w:lineRule="auto"/>
        <w:ind w:firstLine="480" w:firstLineChars="200"/>
        <w:rPr>
          <w:rFonts w:ascii="仿宋" w:hAnsi="仿宋" w:cs="仿宋"/>
          <w:szCs w:val="24"/>
        </w:rPr>
      </w:pPr>
      <w:r>
        <w:rPr>
          <w:rFonts w:hint="eastAsia" w:ascii="仿宋" w:hAnsi="仿宋" w:cs="仿宋"/>
          <w:szCs w:val="24"/>
        </w:rPr>
        <w:t>注意：①供应商应仔细阅读谈判采购文件，在完全了解采购内容、技术要求和商务条件后，根据谈判采购文件要求编写谈判采购响应文件。②对谈判采购文件提出的实质性要求和条件作出响应是指供应商的谈判采购响应文件必须对谈判采购文件中规定的实质性要求和条件作出满足或者优于原要求和条件的承诺，并提供相应的证明材料，否则按无效处理。</w:t>
      </w:r>
    </w:p>
    <w:p>
      <w:pPr>
        <w:spacing w:line="360" w:lineRule="auto"/>
        <w:ind w:firstLine="482" w:firstLineChars="200"/>
        <w:rPr>
          <w:rFonts w:ascii="仿宋" w:hAnsi="仿宋" w:cs="仿宋"/>
          <w:b/>
          <w:bCs/>
        </w:rPr>
      </w:pPr>
      <w:bookmarkStart w:id="134" w:name="_Toc452039986"/>
      <w:bookmarkStart w:id="135" w:name="_Toc179632565"/>
      <w:bookmarkStart w:id="136" w:name="_Toc233102511"/>
      <w:bookmarkStart w:id="137" w:name="_Toc144974515"/>
      <w:bookmarkStart w:id="138" w:name="_Toc479498316"/>
      <w:bookmarkStart w:id="139" w:name="_Toc152042323"/>
      <w:bookmarkStart w:id="140" w:name="_Toc152045547"/>
      <w:r>
        <w:rPr>
          <w:rFonts w:hint="eastAsia" w:ascii="仿宋" w:hAnsi="仿宋" w:cs="仿宋"/>
          <w:b/>
          <w:bCs/>
        </w:rPr>
        <w:t>（三）谈判采购响应文件的组成</w:t>
      </w:r>
      <w:bookmarkEnd w:id="134"/>
      <w:bookmarkEnd w:id="135"/>
      <w:bookmarkEnd w:id="136"/>
      <w:bookmarkEnd w:id="137"/>
      <w:bookmarkEnd w:id="138"/>
      <w:bookmarkEnd w:id="139"/>
      <w:bookmarkEnd w:id="140"/>
    </w:p>
    <w:p>
      <w:pPr>
        <w:spacing w:line="360" w:lineRule="auto"/>
        <w:ind w:firstLine="480" w:firstLineChars="200"/>
        <w:rPr>
          <w:rFonts w:ascii="仿宋" w:hAnsi="仿宋" w:cs="仿宋"/>
          <w:szCs w:val="24"/>
        </w:rPr>
      </w:pPr>
      <w:r>
        <w:rPr>
          <w:rFonts w:hint="eastAsia" w:ascii="仿宋" w:hAnsi="仿宋" w:cs="仿宋"/>
          <w:szCs w:val="24"/>
        </w:rPr>
        <w:t>谈判采购响应文件应包括本章《供应商须知表前附表》所列内容。</w:t>
      </w:r>
      <w:bookmarkStart w:id="141" w:name="_Toc479498317"/>
      <w:bookmarkStart w:id="142" w:name="_Toc452039987"/>
    </w:p>
    <w:p>
      <w:pPr>
        <w:spacing w:line="360" w:lineRule="auto"/>
        <w:ind w:firstLine="482" w:firstLineChars="200"/>
        <w:rPr>
          <w:rFonts w:ascii="仿宋" w:hAnsi="仿宋" w:cs="仿宋"/>
          <w:b/>
          <w:bCs/>
        </w:rPr>
      </w:pPr>
      <w:r>
        <w:rPr>
          <w:rFonts w:hint="eastAsia" w:ascii="仿宋" w:hAnsi="仿宋" w:cs="仿宋"/>
          <w:b/>
          <w:bCs/>
        </w:rPr>
        <w:t>（四）供应商资格的符合性</w:t>
      </w:r>
      <w:bookmarkEnd w:id="141"/>
      <w:bookmarkEnd w:id="142"/>
    </w:p>
    <w:p>
      <w:pPr>
        <w:spacing w:line="360" w:lineRule="auto"/>
        <w:ind w:firstLine="480" w:firstLineChars="200"/>
        <w:rPr>
          <w:rFonts w:ascii="仿宋" w:hAnsi="仿宋" w:cs="仿宋"/>
          <w:szCs w:val="24"/>
        </w:rPr>
      </w:pPr>
      <w:r>
        <w:rPr>
          <w:rFonts w:hint="eastAsia" w:ascii="仿宋" w:hAnsi="仿宋" w:cs="仿宋"/>
          <w:szCs w:val="24"/>
        </w:rPr>
        <w:t>供应商应提交证明文件，证明供应商资格符合第一章《谈判采购项目》规定的各项要求。该证明文件作为谈判采购响应文件的一部分。</w:t>
      </w:r>
    </w:p>
    <w:p>
      <w:pPr>
        <w:spacing w:line="360" w:lineRule="auto"/>
        <w:ind w:firstLine="482" w:firstLineChars="200"/>
        <w:rPr>
          <w:rFonts w:ascii="仿宋" w:hAnsi="仿宋" w:cs="仿宋"/>
          <w:b/>
          <w:bCs/>
        </w:rPr>
      </w:pPr>
      <w:bookmarkStart w:id="143" w:name="_Toc179632566"/>
      <w:bookmarkStart w:id="144" w:name="_Toc144974516"/>
      <w:bookmarkStart w:id="145" w:name="_Toc152042324"/>
      <w:bookmarkStart w:id="146" w:name="_Toc452039989"/>
      <w:bookmarkStart w:id="147" w:name="_Toc479498319"/>
      <w:bookmarkStart w:id="148" w:name="_Toc152045548"/>
      <w:bookmarkStart w:id="149" w:name="_Toc233102512"/>
      <w:r>
        <w:rPr>
          <w:rFonts w:hint="eastAsia" w:ascii="仿宋" w:hAnsi="仿宋" w:cs="仿宋"/>
          <w:b/>
          <w:bCs/>
        </w:rPr>
        <w:t>（五）报价</w:t>
      </w:r>
      <w:bookmarkEnd w:id="143"/>
      <w:bookmarkEnd w:id="144"/>
      <w:bookmarkEnd w:id="145"/>
      <w:bookmarkEnd w:id="146"/>
      <w:bookmarkEnd w:id="147"/>
      <w:bookmarkEnd w:id="148"/>
      <w:bookmarkEnd w:id="149"/>
    </w:p>
    <w:p>
      <w:pPr>
        <w:spacing w:line="360" w:lineRule="auto"/>
        <w:ind w:firstLine="480" w:firstLineChars="200"/>
        <w:rPr>
          <w:rFonts w:ascii="仿宋" w:hAnsi="仿宋" w:cs="仿宋"/>
          <w:szCs w:val="24"/>
        </w:rPr>
      </w:pPr>
      <w:bookmarkStart w:id="150" w:name="_Toc479498320"/>
      <w:bookmarkStart w:id="151" w:name="_Toc152045549"/>
      <w:bookmarkStart w:id="152" w:name="_Toc452039990"/>
      <w:bookmarkStart w:id="153" w:name="_Toc144974517"/>
      <w:bookmarkStart w:id="154" w:name="_Toc179632567"/>
      <w:bookmarkStart w:id="155" w:name="_Toc152042325"/>
      <w:bookmarkStart w:id="156" w:name="_Toc233102513"/>
      <w:r>
        <w:rPr>
          <w:rFonts w:hint="eastAsia" w:ascii="仿宋" w:hAnsi="仿宋" w:cs="仿宋"/>
          <w:bCs/>
          <w:szCs w:val="24"/>
        </w:rPr>
        <w:t>1.</w:t>
      </w:r>
      <w:r>
        <w:rPr>
          <w:rFonts w:hint="eastAsia" w:ascii="仿宋" w:hAnsi="仿宋" w:cs="仿宋"/>
          <w:szCs w:val="24"/>
        </w:rPr>
        <w:t xml:space="preserve">供应商应采用人民币报价，报价到小数点后第五位。   </w:t>
      </w:r>
    </w:p>
    <w:p>
      <w:pPr>
        <w:pStyle w:val="3"/>
      </w:pPr>
      <w:r>
        <w:rPr>
          <w:rFonts w:hint="eastAsia"/>
        </w:rPr>
        <w:t xml:space="preserve">    2.报价方式：本次报价分为非现货电量交易价格和现货电量交易价格两个部分，其中非现货电量交易价格根据采购人给出的每月电量进行分月报价，现货电量交易价格每月以市场基准价（日前用户侧综合价格）为准，不进行浮动，同时现货自定义电量比例为0%。</w:t>
      </w:r>
    </w:p>
    <w:p>
      <w:pPr>
        <w:spacing w:line="360" w:lineRule="auto"/>
        <w:ind w:firstLine="480" w:firstLineChars="200"/>
        <w:rPr>
          <w:rFonts w:ascii="仿宋" w:hAnsi="仿宋" w:cs="仿宋"/>
          <w:szCs w:val="24"/>
        </w:rPr>
      </w:pPr>
      <w:r>
        <w:rPr>
          <w:rFonts w:hint="eastAsia" w:ascii="仿宋" w:hAnsi="仿宋" w:cs="仿宋"/>
          <w:bCs/>
          <w:szCs w:val="24"/>
        </w:rPr>
        <w:t>3.</w:t>
      </w:r>
      <w:r>
        <w:rPr>
          <w:rFonts w:hint="eastAsia" w:ascii="仿宋" w:hAnsi="仿宋" w:cs="仿宋"/>
          <w:szCs w:val="24"/>
        </w:rPr>
        <w:t>偏差电量消纳比例：±100%。</w:t>
      </w:r>
    </w:p>
    <w:p>
      <w:pPr>
        <w:spacing w:line="360" w:lineRule="auto"/>
        <w:ind w:firstLine="480" w:firstLineChars="200"/>
        <w:rPr>
          <w:rFonts w:ascii="仿宋" w:hAnsi="仿宋" w:cs="仿宋"/>
          <w:szCs w:val="24"/>
        </w:rPr>
      </w:pPr>
      <w:r>
        <w:rPr>
          <w:rFonts w:hint="eastAsia" w:ascii="仿宋" w:hAnsi="仿宋" w:cs="仿宋"/>
          <w:bCs/>
          <w:szCs w:val="24"/>
        </w:rPr>
        <w:t>4.</w:t>
      </w:r>
      <w:r>
        <w:rPr>
          <w:rFonts w:hint="eastAsia" w:ascii="仿宋" w:hAnsi="仿宋" w:cs="仿宋"/>
          <w:szCs w:val="24"/>
        </w:rPr>
        <w:t>供应商应根据自身情况，充分考虑可能发生的费用，采购人不再另外计费；并考虑风险因素等进行报价的编制。</w:t>
      </w:r>
    </w:p>
    <w:p>
      <w:pPr>
        <w:spacing w:line="360" w:lineRule="auto"/>
        <w:ind w:firstLine="480" w:firstLineChars="200"/>
        <w:rPr>
          <w:rFonts w:ascii="仿宋" w:hAnsi="仿宋" w:cs="仿宋"/>
          <w:szCs w:val="24"/>
        </w:rPr>
      </w:pPr>
      <w:r>
        <w:rPr>
          <w:rFonts w:hint="eastAsia" w:ascii="仿宋" w:hAnsi="仿宋" w:cs="仿宋"/>
          <w:szCs w:val="24"/>
        </w:rPr>
        <w:t>5.本次采购在谈判过程中，各合格供应商均有二次报价的机会，每次报价均应书面确认。</w:t>
      </w:r>
    </w:p>
    <w:p>
      <w:pPr>
        <w:spacing w:line="360" w:lineRule="auto"/>
        <w:ind w:firstLine="480" w:firstLineChars="200"/>
        <w:rPr>
          <w:rFonts w:ascii="仿宋" w:hAnsi="仿宋" w:cs="仿宋"/>
          <w:szCs w:val="24"/>
        </w:rPr>
      </w:pPr>
      <w:r>
        <w:rPr>
          <w:rFonts w:hint="eastAsia" w:ascii="仿宋" w:hAnsi="仿宋" w:cs="仿宋"/>
          <w:bCs/>
          <w:szCs w:val="24"/>
        </w:rPr>
        <w:t>6.</w:t>
      </w:r>
      <w:r>
        <w:rPr>
          <w:rFonts w:hint="eastAsia" w:ascii="仿宋" w:hAnsi="仿宋" w:cs="仿宋"/>
          <w:szCs w:val="24"/>
        </w:rPr>
        <w:t>采购人与供应商之间无收付款资金往来。</w:t>
      </w:r>
    </w:p>
    <w:p>
      <w:pPr>
        <w:spacing w:line="360" w:lineRule="auto"/>
        <w:ind w:firstLine="480" w:firstLineChars="200"/>
        <w:rPr>
          <w:rFonts w:ascii="仿宋" w:hAnsi="仿宋" w:cs="仿宋"/>
          <w:szCs w:val="24"/>
        </w:rPr>
      </w:pPr>
      <w:r>
        <w:rPr>
          <w:rFonts w:hint="eastAsia" w:ascii="仿宋" w:hAnsi="仿宋" w:cs="仿宋"/>
          <w:szCs w:val="24"/>
        </w:rPr>
        <w:t>7.供应商应根据谈判过程中对相关问题的询问和澄清，充分考虑完成本项目所需的所有费用，以二次报价作为最终成交价格。</w:t>
      </w:r>
    </w:p>
    <w:p>
      <w:pPr>
        <w:spacing w:line="360" w:lineRule="auto"/>
        <w:ind w:firstLine="480" w:firstLineChars="200"/>
        <w:rPr>
          <w:rFonts w:ascii="仿宋" w:hAnsi="仿宋" w:cs="仿宋"/>
          <w:szCs w:val="24"/>
        </w:rPr>
      </w:pPr>
      <w:r>
        <w:rPr>
          <w:rFonts w:hint="eastAsia" w:ascii="仿宋" w:hAnsi="仿宋" w:cs="仿宋"/>
          <w:bCs/>
          <w:szCs w:val="24"/>
        </w:rPr>
        <w:t>8.</w:t>
      </w:r>
      <w:r>
        <w:rPr>
          <w:rFonts w:hint="eastAsia" w:ascii="仿宋" w:hAnsi="仿宋" w:cs="仿宋"/>
          <w:szCs w:val="24"/>
        </w:rPr>
        <w:t>采购人不接受选择性报价及可变动的报价，每次报价均为唯一性报价。供应商估算错误或漏项的风险一律由供应商承担。如果任何项目没有标明报价，将被视为供应商不再收取采购人任何额外费用或是该项费用已计算在另外的项目之中。</w:t>
      </w:r>
    </w:p>
    <w:p>
      <w:pPr>
        <w:spacing w:line="360" w:lineRule="auto"/>
        <w:ind w:firstLine="480" w:firstLineChars="200"/>
        <w:rPr>
          <w:rFonts w:ascii="仿宋" w:hAnsi="仿宋" w:cs="仿宋"/>
          <w:szCs w:val="24"/>
        </w:rPr>
      </w:pPr>
      <w:r>
        <w:rPr>
          <w:rFonts w:hint="eastAsia" w:ascii="仿宋" w:hAnsi="仿宋" w:cs="仿宋"/>
          <w:bCs/>
          <w:szCs w:val="24"/>
        </w:rPr>
        <w:t>9.</w:t>
      </w:r>
      <w:r>
        <w:rPr>
          <w:rFonts w:hint="eastAsia" w:ascii="仿宋" w:hAnsi="仿宋" w:cs="仿宋"/>
          <w:szCs w:val="24"/>
        </w:rPr>
        <w:t>本项目以综合评分最高者成交。</w:t>
      </w:r>
    </w:p>
    <w:bookmarkEnd w:id="150"/>
    <w:bookmarkEnd w:id="151"/>
    <w:bookmarkEnd w:id="152"/>
    <w:bookmarkEnd w:id="153"/>
    <w:bookmarkEnd w:id="154"/>
    <w:bookmarkEnd w:id="155"/>
    <w:bookmarkEnd w:id="156"/>
    <w:p>
      <w:pPr>
        <w:spacing w:line="360" w:lineRule="auto"/>
        <w:ind w:firstLine="472" w:firstLineChars="196"/>
        <w:rPr>
          <w:rFonts w:ascii="仿宋" w:hAnsi="仿宋" w:cs="仿宋"/>
          <w:szCs w:val="24"/>
        </w:rPr>
      </w:pPr>
      <w:bookmarkStart w:id="157" w:name="_Toc179632573"/>
      <w:bookmarkStart w:id="158" w:name="_Toc452039995"/>
      <w:bookmarkStart w:id="159" w:name="_Toc233102519"/>
      <w:bookmarkStart w:id="160" w:name="_Toc152042331"/>
      <w:bookmarkStart w:id="161" w:name="_Toc479498325"/>
      <w:bookmarkStart w:id="162" w:name="_Toc144974523"/>
      <w:bookmarkStart w:id="163" w:name="_Toc152045555"/>
      <w:r>
        <w:rPr>
          <w:rFonts w:hint="eastAsia" w:ascii="仿宋" w:hAnsi="仿宋" w:cs="仿宋"/>
          <w:b/>
          <w:bCs/>
        </w:rPr>
        <w:t>（六）</w:t>
      </w:r>
      <w:r>
        <w:rPr>
          <w:rFonts w:hint="eastAsia" w:ascii="仿宋" w:hAnsi="仿宋" w:cs="仿宋"/>
          <w:szCs w:val="24"/>
        </w:rPr>
        <w:t>谈判采购响应文件中提供的资料，内容必须清晰可辨，若内容模糊，无法辨识，均视为未提供。所有非中文的资料，均须附准确的中文翻译材料，否则视为未提供。</w:t>
      </w:r>
    </w:p>
    <w:p>
      <w:pPr>
        <w:spacing w:line="360" w:lineRule="auto"/>
        <w:ind w:firstLine="482" w:firstLineChars="200"/>
        <w:rPr>
          <w:rFonts w:ascii="仿宋" w:hAnsi="仿宋" w:cs="仿宋"/>
          <w:szCs w:val="24"/>
        </w:rPr>
      </w:pPr>
      <w:r>
        <w:rPr>
          <w:rFonts w:hint="eastAsia" w:ascii="仿宋" w:hAnsi="仿宋" w:cs="仿宋"/>
          <w:b/>
          <w:szCs w:val="24"/>
        </w:rPr>
        <w:t>（七）</w:t>
      </w:r>
      <w:r>
        <w:rPr>
          <w:rFonts w:hint="eastAsia" w:ascii="仿宋" w:hAnsi="仿宋" w:cs="仿宋"/>
          <w:szCs w:val="24"/>
        </w:rPr>
        <w:t>谈判采购响应文件中对谈判采购文件商务条款及技术要求的应答出现完全或绝大部分复制谈判采购文件要求的，视为未实质性响应谈判采购文件。</w:t>
      </w:r>
    </w:p>
    <w:bookmarkEnd w:id="157"/>
    <w:bookmarkEnd w:id="158"/>
    <w:bookmarkEnd w:id="159"/>
    <w:bookmarkEnd w:id="160"/>
    <w:bookmarkEnd w:id="161"/>
    <w:bookmarkEnd w:id="162"/>
    <w:bookmarkEnd w:id="163"/>
    <w:p>
      <w:pPr>
        <w:spacing w:line="360" w:lineRule="auto"/>
        <w:ind w:firstLine="482" w:firstLineChars="200"/>
        <w:rPr>
          <w:rFonts w:ascii="仿宋" w:hAnsi="仿宋" w:cs="仿宋"/>
          <w:b/>
          <w:bCs/>
        </w:rPr>
      </w:pPr>
      <w:r>
        <w:rPr>
          <w:rFonts w:hint="eastAsia" w:ascii="仿宋" w:hAnsi="仿宋" w:cs="仿宋"/>
          <w:b/>
          <w:bCs/>
        </w:rPr>
        <w:t>（八）谈判采购响应文件的递交</w:t>
      </w:r>
    </w:p>
    <w:p>
      <w:pPr>
        <w:spacing w:line="360" w:lineRule="auto"/>
        <w:ind w:firstLine="480" w:firstLineChars="200"/>
        <w:contextualSpacing/>
        <w:rPr>
          <w:rFonts w:ascii="仿宋" w:hAnsi="仿宋" w:cs="仿宋"/>
          <w:szCs w:val="24"/>
          <w:highlight w:val="yellow"/>
        </w:rPr>
      </w:pPr>
      <w:r>
        <w:rPr>
          <w:rFonts w:hint="eastAsia" w:ascii="仿宋" w:hAnsi="仿宋" w:cs="仿宋"/>
        </w:rPr>
        <w:t>（1）</w:t>
      </w:r>
      <w:r>
        <w:rPr>
          <w:rFonts w:hint="eastAsia" w:ascii="仿宋" w:hAnsi="仿宋" w:cs="仿宋"/>
          <w:szCs w:val="24"/>
        </w:rPr>
        <w:t>供应商应在采购公告规定的响应文件递交截止时间前递交谈判采购响应文件。</w:t>
      </w:r>
    </w:p>
    <w:p>
      <w:pPr>
        <w:spacing w:line="360" w:lineRule="auto"/>
        <w:rPr>
          <w:rFonts w:ascii="仿宋" w:hAnsi="仿宋" w:cs="仿宋"/>
          <w:b/>
          <w:bCs/>
        </w:rPr>
      </w:pPr>
      <w:bookmarkStart w:id="164" w:name="_Toc144974527"/>
      <w:bookmarkStart w:id="165" w:name="_Toc479498329"/>
      <w:bookmarkStart w:id="166" w:name="_Toc16942"/>
      <w:bookmarkStart w:id="167" w:name="_Toc28013"/>
      <w:bookmarkStart w:id="168" w:name="_Toc1579"/>
      <w:bookmarkStart w:id="169" w:name="_Toc152045559"/>
      <w:bookmarkStart w:id="170" w:name="_Toc29385"/>
      <w:bookmarkStart w:id="171" w:name="_Toc57280597"/>
      <w:bookmarkStart w:id="172" w:name="_Toc179632577"/>
      <w:bookmarkStart w:id="173" w:name="_Toc152042335"/>
      <w:bookmarkStart w:id="174" w:name="_Toc233102523"/>
      <w:bookmarkStart w:id="175" w:name="_Toc28933"/>
      <w:bookmarkStart w:id="176" w:name="_Toc452039999"/>
      <w:r>
        <w:rPr>
          <w:rFonts w:hint="eastAsia" w:ascii="仿宋" w:hAnsi="仿宋" w:cs="仿宋"/>
          <w:b/>
          <w:bCs/>
        </w:rPr>
        <w:t>七、</w:t>
      </w:r>
      <w:bookmarkEnd w:id="164"/>
      <w:bookmarkEnd w:id="165"/>
      <w:bookmarkEnd w:id="166"/>
      <w:bookmarkEnd w:id="167"/>
      <w:bookmarkEnd w:id="168"/>
      <w:bookmarkEnd w:id="169"/>
      <w:bookmarkEnd w:id="170"/>
      <w:bookmarkEnd w:id="171"/>
      <w:bookmarkEnd w:id="172"/>
      <w:bookmarkEnd w:id="173"/>
      <w:bookmarkEnd w:id="174"/>
      <w:bookmarkEnd w:id="175"/>
      <w:bookmarkEnd w:id="176"/>
      <w:r>
        <w:rPr>
          <w:rFonts w:hint="eastAsia" w:ascii="仿宋" w:hAnsi="仿宋" w:cs="仿宋"/>
          <w:b/>
          <w:bCs/>
        </w:rPr>
        <w:t>谈判采购</w:t>
      </w:r>
    </w:p>
    <w:p>
      <w:pPr>
        <w:spacing w:line="360" w:lineRule="auto"/>
        <w:ind w:firstLine="482" w:firstLineChars="200"/>
        <w:rPr>
          <w:rFonts w:ascii="仿宋" w:hAnsi="仿宋" w:cs="仿宋"/>
          <w:b/>
          <w:bCs/>
        </w:rPr>
      </w:pPr>
      <w:bookmarkStart w:id="177" w:name="_Toc57280598"/>
      <w:bookmarkStart w:id="178" w:name="_Toc3472"/>
      <w:bookmarkStart w:id="179" w:name="_Toc1466"/>
      <w:bookmarkStart w:id="180" w:name="_Toc144974528"/>
      <w:bookmarkStart w:id="181" w:name="_Toc452040000"/>
      <w:bookmarkStart w:id="182" w:name="_Toc132"/>
      <w:bookmarkStart w:id="183" w:name="_Toc152042336"/>
      <w:bookmarkStart w:id="184" w:name="_Toc152045560"/>
      <w:bookmarkStart w:id="185" w:name="_Toc30289"/>
      <w:bookmarkStart w:id="186" w:name="_Toc479498330"/>
      <w:bookmarkStart w:id="187" w:name="_Toc31519"/>
      <w:bookmarkStart w:id="188" w:name="_Toc179632578"/>
      <w:bookmarkStart w:id="189" w:name="_Toc233102524"/>
      <w:r>
        <w:rPr>
          <w:rFonts w:hint="eastAsia" w:ascii="仿宋" w:hAnsi="仿宋" w:cs="仿宋"/>
          <w:b/>
          <w:bCs/>
        </w:rPr>
        <w:t>（一）时间和地点</w:t>
      </w:r>
      <w:bookmarkEnd w:id="177"/>
      <w:bookmarkEnd w:id="178"/>
      <w:bookmarkEnd w:id="179"/>
      <w:bookmarkEnd w:id="180"/>
      <w:bookmarkEnd w:id="181"/>
      <w:bookmarkEnd w:id="182"/>
      <w:bookmarkEnd w:id="183"/>
      <w:bookmarkEnd w:id="184"/>
      <w:bookmarkEnd w:id="185"/>
      <w:bookmarkEnd w:id="186"/>
      <w:bookmarkEnd w:id="187"/>
      <w:bookmarkEnd w:id="188"/>
      <w:bookmarkEnd w:id="189"/>
    </w:p>
    <w:p>
      <w:pPr>
        <w:spacing w:line="360" w:lineRule="auto"/>
        <w:ind w:firstLine="480" w:firstLineChars="200"/>
        <w:rPr>
          <w:rFonts w:ascii="仿宋" w:hAnsi="仿宋" w:cs="仿宋"/>
          <w:szCs w:val="24"/>
        </w:rPr>
      </w:pPr>
      <w:r>
        <w:rPr>
          <w:rFonts w:hint="eastAsia" w:ascii="仿宋" w:hAnsi="仿宋" w:cs="仿宋"/>
          <w:szCs w:val="24"/>
        </w:rPr>
        <w:t>各供应商按照第一章规定的时间和地点按时参加现场谈判。</w:t>
      </w:r>
    </w:p>
    <w:p>
      <w:pPr>
        <w:spacing w:line="360" w:lineRule="auto"/>
        <w:ind w:firstLine="482" w:firstLineChars="200"/>
        <w:rPr>
          <w:rFonts w:ascii="仿宋" w:hAnsi="仿宋" w:cs="仿宋"/>
          <w:b/>
          <w:bCs/>
        </w:rPr>
      </w:pPr>
      <w:bookmarkStart w:id="190" w:name="_Toc57280600"/>
      <w:bookmarkStart w:id="191" w:name="_Toc31215"/>
      <w:bookmarkStart w:id="192" w:name="_Toc233102525"/>
      <w:bookmarkStart w:id="193" w:name="_Toc452040002"/>
      <w:bookmarkStart w:id="194" w:name="_Toc26881"/>
      <w:bookmarkStart w:id="195" w:name="_Toc479498332"/>
      <w:bookmarkStart w:id="196" w:name="_Toc144974529"/>
      <w:bookmarkStart w:id="197" w:name="_Toc152045561"/>
      <w:bookmarkStart w:id="198" w:name="_Toc179632579"/>
      <w:bookmarkStart w:id="199" w:name="_Toc152042337"/>
      <w:bookmarkStart w:id="200" w:name="_Toc9196"/>
      <w:bookmarkStart w:id="201" w:name="_Toc31429"/>
      <w:bookmarkStart w:id="202" w:name="_Toc10803"/>
      <w:r>
        <w:rPr>
          <w:rFonts w:hint="eastAsia" w:ascii="仿宋" w:hAnsi="仿宋" w:cs="仿宋"/>
          <w:b/>
          <w:bCs/>
        </w:rPr>
        <w:t>（二）谈判采购程序</w:t>
      </w:r>
      <w:bookmarkEnd w:id="190"/>
      <w:bookmarkEnd w:id="191"/>
      <w:bookmarkEnd w:id="192"/>
      <w:bookmarkEnd w:id="193"/>
      <w:bookmarkEnd w:id="194"/>
      <w:bookmarkEnd w:id="195"/>
      <w:bookmarkEnd w:id="196"/>
      <w:bookmarkEnd w:id="197"/>
      <w:bookmarkEnd w:id="198"/>
      <w:bookmarkEnd w:id="199"/>
      <w:bookmarkEnd w:id="200"/>
      <w:bookmarkEnd w:id="201"/>
      <w:bookmarkEnd w:id="202"/>
    </w:p>
    <w:p>
      <w:pPr>
        <w:spacing w:line="360" w:lineRule="auto"/>
        <w:ind w:firstLine="410" w:firstLineChars="171"/>
        <w:contextualSpacing/>
        <w:rPr>
          <w:rFonts w:ascii="仿宋" w:hAnsi="仿宋" w:cs="仿宋"/>
          <w:szCs w:val="24"/>
        </w:rPr>
      </w:pPr>
      <w:r>
        <w:rPr>
          <w:rFonts w:hint="eastAsia" w:ascii="仿宋" w:hAnsi="仿宋" w:cs="仿宋"/>
          <w:szCs w:val="24"/>
        </w:rPr>
        <w:t xml:space="preserve"> 1.宣布谈判采购纪律，公布在响应文件递交截止时间前递交谈判采购响应文件的供应商名称，谈判小组按照本规定对所有响应文件的有效性、完整性和响应性进行评审；</w:t>
      </w:r>
    </w:p>
    <w:p>
      <w:pPr>
        <w:spacing w:line="360" w:lineRule="auto"/>
        <w:ind w:firstLine="410" w:firstLineChars="171"/>
        <w:contextualSpacing/>
        <w:rPr>
          <w:rFonts w:ascii="仿宋" w:hAnsi="仿宋" w:cs="仿宋"/>
          <w:szCs w:val="24"/>
        </w:rPr>
      </w:pPr>
      <w:r>
        <w:rPr>
          <w:rFonts w:hint="eastAsia" w:ascii="仿宋" w:hAnsi="仿宋" w:cs="仿宋"/>
          <w:szCs w:val="24"/>
        </w:rPr>
        <w:t xml:space="preserve"> 2.谈判小组现场抽签确定谈判先后顺序；</w:t>
      </w:r>
    </w:p>
    <w:p>
      <w:pPr>
        <w:spacing w:line="360" w:lineRule="auto"/>
        <w:ind w:firstLine="410" w:firstLineChars="171"/>
        <w:contextualSpacing/>
        <w:rPr>
          <w:rFonts w:ascii="仿宋" w:hAnsi="仿宋" w:cs="仿宋"/>
          <w:szCs w:val="24"/>
        </w:rPr>
      </w:pPr>
      <w:r>
        <w:rPr>
          <w:rFonts w:hint="eastAsia" w:ascii="仿宋" w:hAnsi="仿宋" w:cs="仿宋"/>
          <w:szCs w:val="24"/>
        </w:rPr>
        <w:t xml:space="preserve"> 3.谈判小组按照现场抽签确定的先后顺序单独与各家谈判；</w:t>
      </w:r>
    </w:p>
    <w:p>
      <w:pPr>
        <w:spacing w:line="360" w:lineRule="auto"/>
        <w:ind w:firstLine="410" w:firstLineChars="171"/>
        <w:contextualSpacing/>
        <w:rPr>
          <w:rFonts w:ascii="仿宋" w:hAnsi="仿宋" w:cs="仿宋"/>
          <w:szCs w:val="24"/>
        </w:rPr>
      </w:pPr>
      <w:r>
        <w:rPr>
          <w:rFonts w:hint="eastAsia" w:ascii="仿宋" w:hAnsi="仿宋" w:cs="仿宋"/>
          <w:szCs w:val="24"/>
        </w:rPr>
        <w:t xml:space="preserve"> 4.按顺序二次报价及谈判。</w:t>
      </w:r>
    </w:p>
    <w:p>
      <w:pPr>
        <w:spacing w:line="360" w:lineRule="auto"/>
        <w:ind w:firstLine="410" w:firstLineChars="171"/>
        <w:contextualSpacing/>
        <w:rPr>
          <w:rFonts w:ascii="仿宋" w:hAnsi="仿宋" w:cs="仿宋"/>
          <w:szCs w:val="24"/>
        </w:rPr>
      </w:pPr>
      <w:r>
        <w:rPr>
          <w:rFonts w:hint="eastAsia" w:ascii="仿宋" w:hAnsi="仿宋" w:cs="仿宋"/>
          <w:szCs w:val="24"/>
        </w:rPr>
        <w:t xml:space="preserve"> 5.谈判采购结束。</w:t>
      </w:r>
    </w:p>
    <w:p>
      <w:pPr>
        <w:spacing w:line="360" w:lineRule="auto"/>
        <w:ind w:firstLine="412" w:firstLineChars="171"/>
        <w:contextualSpacing/>
        <w:rPr>
          <w:rFonts w:ascii="仿宋" w:hAnsi="仿宋" w:cs="仿宋"/>
          <w:b/>
          <w:szCs w:val="24"/>
        </w:rPr>
      </w:pPr>
      <w:r>
        <w:rPr>
          <w:rFonts w:hint="eastAsia" w:ascii="仿宋" w:hAnsi="仿宋" w:cs="仿宋"/>
          <w:b/>
          <w:szCs w:val="24"/>
        </w:rPr>
        <w:t>注：供应商代表对谈判采购过程有疑义，以及认为采购人相关工作人员有需要回避的情形的，应当场提出询问或者回避申请。供应商未参加谈判采购的，视同认可谈判采购结果。</w:t>
      </w:r>
    </w:p>
    <w:p>
      <w:pPr>
        <w:spacing w:line="360" w:lineRule="auto"/>
        <w:rPr>
          <w:rFonts w:ascii="仿宋" w:hAnsi="仿宋" w:cs="仿宋"/>
          <w:b/>
          <w:bCs/>
        </w:rPr>
      </w:pPr>
      <w:bookmarkStart w:id="203" w:name="_Toc452040003"/>
      <w:bookmarkStart w:id="204" w:name="_Toc144974530"/>
      <w:bookmarkStart w:id="205" w:name="_Toc57280602"/>
      <w:bookmarkStart w:id="206" w:name="_Toc32420"/>
      <w:bookmarkStart w:id="207" w:name="_Toc479498333"/>
      <w:bookmarkStart w:id="208" w:name="_Toc9847"/>
      <w:bookmarkStart w:id="209" w:name="_Toc152045562"/>
      <w:bookmarkStart w:id="210" w:name="_Toc1601"/>
      <w:bookmarkStart w:id="211" w:name="_Toc152042338"/>
      <w:bookmarkStart w:id="212" w:name="_Toc26293"/>
      <w:bookmarkStart w:id="213" w:name="_Toc18789"/>
      <w:bookmarkStart w:id="214" w:name="_Toc179632580"/>
      <w:bookmarkStart w:id="215" w:name="_Toc233102526"/>
      <w:r>
        <w:rPr>
          <w:rFonts w:hint="eastAsia" w:ascii="仿宋" w:hAnsi="仿宋" w:cs="仿宋"/>
          <w:b/>
          <w:bCs/>
        </w:rPr>
        <w:t>八．</w:t>
      </w:r>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仿宋" w:hAnsi="仿宋" w:cs="仿宋"/>
          <w:b/>
          <w:bCs/>
        </w:rPr>
        <w:t>评审谈判</w:t>
      </w:r>
    </w:p>
    <w:p>
      <w:pPr>
        <w:spacing w:line="360" w:lineRule="auto"/>
        <w:ind w:firstLine="482" w:firstLineChars="200"/>
        <w:rPr>
          <w:rFonts w:ascii="仿宋" w:hAnsi="仿宋" w:cs="仿宋"/>
          <w:b/>
          <w:bCs/>
        </w:rPr>
      </w:pPr>
      <w:bookmarkStart w:id="216" w:name="_Toc152042339"/>
      <w:bookmarkStart w:id="217" w:name="_Toc179632581"/>
      <w:bookmarkStart w:id="218" w:name="_Toc233102527"/>
      <w:bookmarkStart w:id="219" w:name="_Toc479498334"/>
      <w:bookmarkStart w:id="220" w:name="_Toc144974531"/>
      <w:bookmarkStart w:id="221" w:name="_Toc452040004"/>
      <w:bookmarkStart w:id="222" w:name="_Toc152045563"/>
      <w:r>
        <w:rPr>
          <w:rFonts w:hint="eastAsia" w:ascii="仿宋" w:hAnsi="仿宋" w:cs="仿宋"/>
          <w:b/>
          <w:bCs/>
        </w:rPr>
        <w:t>1</w:t>
      </w:r>
      <w:bookmarkEnd w:id="216"/>
      <w:bookmarkEnd w:id="217"/>
      <w:bookmarkEnd w:id="218"/>
      <w:bookmarkEnd w:id="219"/>
      <w:bookmarkEnd w:id="220"/>
      <w:bookmarkEnd w:id="221"/>
      <w:bookmarkEnd w:id="222"/>
      <w:r>
        <w:rPr>
          <w:rFonts w:hint="eastAsia" w:ascii="仿宋" w:hAnsi="仿宋" w:cs="仿宋"/>
          <w:b/>
          <w:bCs/>
        </w:rPr>
        <w:t>.谈判小组</w:t>
      </w:r>
    </w:p>
    <w:p>
      <w:pPr>
        <w:spacing w:line="360" w:lineRule="auto"/>
        <w:ind w:firstLine="480" w:firstLineChars="200"/>
        <w:rPr>
          <w:rFonts w:ascii="仿宋" w:hAnsi="仿宋" w:cs="仿宋"/>
          <w:szCs w:val="24"/>
        </w:rPr>
      </w:pPr>
      <w:bookmarkStart w:id="223" w:name="_Toc152042340"/>
      <w:bookmarkStart w:id="224" w:name="_Toc452040005"/>
      <w:bookmarkStart w:id="225" w:name="_Toc152045564"/>
      <w:bookmarkStart w:id="226" w:name="_Toc179632582"/>
      <w:bookmarkStart w:id="227" w:name="_Toc144974532"/>
      <w:bookmarkStart w:id="228" w:name="_Toc479498335"/>
      <w:bookmarkStart w:id="229" w:name="_Toc233102528"/>
      <w:r>
        <w:rPr>
          <w:rFonts w:hint="eastAsia" w:ascii="仿宋" w:hAnsi="仿宋" w:cs="仿宋"/>
          <w:szCs w:val="24"/>
        </w:rPr>
        <w:t>谈判小组由三人以上单数组成，谈判小组应当推选组长。</w:t>
      </w:r>
    </w:p>
    <w:p>
      <w:pPr>
        <w:spacing w:line="360" w:lineRule="auto"/>
        <w:ind w:firstLine="482" w:firstLineChars="200"/>
        <w:rPr>
          <w:rFonts w:ascii="仿宋" w:hAnsi="仿宋" w:cs="仿宋"/>
          <w:b/>
          <w:bCs/>
        </w:rPr>
      </w:pPr>
      <w:r>
        <w:rPr>
          <w:rFonts w:hint="eastAsia" w:ascii="仿宋" w:hAnsi="仿宋" w:cs="仿宋"/>
          <w:b/>
          <w:bCs/>
        </w:rPr>
        <w:t>2.评审原则</w:t>
      </w:r>
      <w:bookmarkEnd w:id="223"/>
      <w:bookmarkEnd w:id="224"/>
      <w:bookmarkEnd w:id="225"/>
      <w:bookmarkEnd w:id="226"/>
      <w:bookmarkEnd w:id="227"/>
      <w:bookmarkEnd w:id="228"/>
      <w:bookmarkEnd w:id="229"/>
      <w:r>
        <w:rPr>
          <w:rFonts w:hint="eastAsia" w:ascii="仿宋" w:hAnsi="仿宋" w:cs="仿宋"/>
          <w:b/>
          <w:bCs/>
        </w:rPr>
        <w:tab/>
      </w:r>
    </w:p>
    <w:p>
      <w:pPr>
        <w:spacing w:line="360" w:lineRule="auto"/>
        <w:ind w:firstLine="480" w:firstLineChars="200"/>
        <w:rPr>
          <w:rFonts w:ascii="仿宋" w:hAnsi="仿宋" w:cs="仿宋"/>
          <w:szCs w:val="24"/>
        </w:rPr>
      </w:pPr>
      <w:r>
        <w:rPr>
          <w:rFonts w:hint="eastAsia" w:ascii="仿宋" w:hAnsi="仿宋" w:cs="仿宋"/>
          <w:szCs w:val="24"/>
        </w:rPr>
        <w:t>评审活动遵循公平、公正、科学和择优的原则。</w:t>
      </w:r>
    </w:p>
    <w:p>
      <w:pPr>
        <w:spacing w:line="360" w:lineRule="auto"/>
        <w:ind w:firstLine="482" w:firstLineChars="200"/>
        <w:rPr>
          <w:rFonts w:ascii="仿宋" w:hAnsi="仿宋" w:cs="仿宋"/>
          <w:b/>
          <w:bCs/>
        </w:rPr>
      </w:pPr>
      <w:bookmarkStart w:id="230" w:name="_Toc479498336"/>
      <w:bookmarkStart w:id="231" w:name="_Toc152045565"/>
      <w:bookmarkStart w:id="232" w:name="_Toc179632583"/>
      <w:bookmarkStart w:id="233" w:name="_Toc452040006"/>
      <w:bookmarkStart w:id="234" w:name="_Toc233102529"/>
      <w:bookmarkStart w:id="235" w:name="_Toc144974533"/>
      <w:bookmarkStart w:id="236" w:name="_Toc152042341"/>
      <w:r>
        <w:rPr>
          <w:rFonts w:hint="eastAsia" w:ascii="仿宋" w:hAnsi="仿宋" w:cs="仿宋"/>
          <w:b/>
          <w:bCs/>
        </w:rPr>
        <w:t>3.</w:t>
      </w:r>
      <w:bookmarkEnd w:id="230"/>
      <w:bookmarkEnd w:id="231"/>
      <w:bookmarkEnd w:id="232"/>
      <w:bookmarkEnd w:id="233"/>
      <w:bookmarkEnd w:id="234"/>
      <w:bookmarkEnd w:id="235"/>
      <w:bookmarkEnd w:id="236"/>
      <w:r>
        <w:rPr>
          <w:rFonts w:hint="eastAsia" w:ascii="仿宋" w:hAnsi="仿宋" w:cs="仿宋"/>
          <w:b/>
          <w:bCs/>
        </w:rPr>
        <w:t>评审</w:t>
      </w:r>
    </w:p>
    <w:p>
      <w:pPr>
        <w:spacing w:line="360" w:lineRule="auto"/>
        <w:ind w:firstLine="480" w:firstLineChars="200"/>
        <w:contextualSpacing/>
        <w:rPr>
          <w:rFonts w:ascii="仿宋" w:hAnsi="仿宋" w:cs="仿宋"/>
          <w:szCs w:val="24"/>
        </w:rPr>
      </w:pPr>
      <w:r>
        <w:rPr>
          <w:rFonts w:hint="eastAsia" w:ascii="仿宋" w:hAnsi="仿宋" w:cs="仿宋"/>
          <w:bCs/>
          <w:szCs w:val="24"/>
        </w:rPr>
        <w:t>(1)</w:t>
      </w:r>
      <w:r>
        <w:rPr>
          <w:rFonts w:hint="eastAsia" w:ascii="仿宋" w:hAnsi="仿宋" w:cs="仿宋"/>
          <w:szCs w:val="24"/>
        </w:rPr>
        <w:t>谈判小组按照第三章《评审标准及办法》规定的方法、评审因素、标准和程序对谈判采购响应文件进行评审。</w:t>
      </w:r>
    </w:p>
    <w:p>
      <w:pPr>
        <w:spacing w:line="360" w:lineRule="auto"/>
        <w:ind w:firstLine="480" w:firstLineChars="200"/>
        <w:contextualSpacing/>
        <w:rPr>
          <w:rFonts w:ascii="仿宋" w:hAnsi="仿宋" w:cs="仿宋"/>
          <w:szCs w:val="24"/>
        </w:rPr>
      </w:pPr>
      <w:r>
        <w:rPr>
          <w:rFonts w:hint="eastAsia" w:ascii="仿宋" w:hAnsi="仿宋" w:cs="仿宋"/>
          <w:bCs/>
          <w:szCs w:val="24"/>
        </w:rPr>
        <w:t>(2)</w:t>
      </w:r>
      <w:r>
        <w:rPr>
          <w:rFonts w:hint="eastAsia" w:ascii="仿宋" w:hAnsi="仿宋" w:cs="仿宋"/>
          <w:szCs w:val="24"/>
        </w:rPr>
        <w:t>评审应当在严格保密的情况下进行。任何单位和个人不得非法干预、影响评审办法的确定，以及评审过程和结果。谈判小组成员和与评审活动有关的人员在采购活动中应严格遵守采购评审工作纪律，不得向外界泄露评审情况。</w:t>
      </w:r>
    </w:p>
    <w:p>
      <w:pPr>
        <w:spacing w:line="360" w:lineRule="auto"/>
        <w:contextualSpacing/>
        <w:rPr>
          <w:rFonts w:ascii="仿宋" w:hAnsi="仿宋" w:cs="仿宋"/>
          <w:b/>
          <w:bCs/>
          <w:kern w:val="0"/>
          <w:szCs w:val="24"/>
        </w:rPr>
      </w:pPr>
      <w:r>
        <w:rPr>
          <w:rFonts w:hint="eastAsia" w:ascii="仿宋" w:hAnsi="仿宋" w:cs="仿宋"/>
          <w:b/>
          <w:bCs/>
          <w:kern w:val="0"/>
          <w:szCs w:val="24"/>
        </w:rPr>
        <w:t>九．采购文件的解释权归采购人所有。</w:t>
      </w:r>
    </w:p>
    <w:p>
      <w:pPr>
        <w:spacing w:line="360" w:lineRule="auto"/>
        <w:contextualSpacing/>
        <w:rPr>
          <w:rFonts w:ascii="仿宋" w:hAnsi="仿宋" w:cs="仿宋"/>
          <w:b/>
          <w:bCs/>
          <w:kern w:val="0"/>
          <w:szCs w:val="24"/>
        </w:rPr>
      </w:pPr>
    </w:p>
    <w:p>
      <w:pPr>
        <w:pStyle w:val="2"/>
        <w:rPr>
          <w:rFonts w:ascii="仿宋" w:hAnsi="仿宋" w:cs="仿宋"/>
        </w:rPr>
      </w:pPr>
      <w:bookmarkStart w:id="237" w:name="_Toc20769"/>
    </w:p>
    <w:p>
      <w:pPr>
        <w:pStyle w:val="2"/>
        <w:rPr>
          <w:rFonts w:ascii="仿宋" w:hAnsi="仿宋" w:cs="仿宋"/>
        </w:rPr>
      </w:pPr>
      <w:r>
        <w:rPr>
          <w:rFonts w:hint="eastAsia" w:ascii="仿宋" w:hAnsi="仿宋" w:cs="仿宋"/>
        </w:rPr>
        <w:t xml:space="preserve">第三章 </w:t>
      </w:r>
      <w:bookmarkEnd w:id="67"/>
      <w:bookmarkEnd w:id="68"/>
      <w:bookmarkEnd w:id="69"/>
      <w:bookmarkEnd w:id="70"/>
      <w:bookmarkEnd w:id="71"/>
      <w:bookmarkEnd w:id="72"/>
      <w:bookmarkEnd w:id="73"/>
      <w:r>
        <w:rPr>
          <w:rFonts w:hint="eastAsia" w:ascii="仿宋" w:hAnsi="仿宋" w:cs="仿宋"/>
        </w:rPr>
        <w:t>评审标准及办法</w:t>
      </w:r>
      <w:bookmarkEnd w:id="74"/>
      <w:bookmarkEnd w:id="237"/>
    </w:p>
    <w:p>
      <w:pPr>
        <w:spacing w:line="360" w:lineRule="auto"/>
        <w:contextualSpacing/>
        <w:rPr>
          <w:rFonts w:ascii="仿宋" w:hAnsi="仿宋" w:cs="仿宋"/>
          <w:b/>
          <w:szCs w:val="24"/>
        </w:rPr>
      </w:pPr>
      <w:r>
        <w:rPr>
          <w:rFonts w:hint="eastAsia" w:ascii="仿宋" w:hAnsi="仿宋" w:cs="仿宋"/>
          <w:b/>
          <w:szCs w:val="24"/>
        </w:rPr>
        <w:t>一．评审方法</w:t>
      </w:r>
      <w:bookmarkEnd w:id="75"/>
      <w:bookmarkEnd w:id="76"/>
      <w:bookmarkEnd w:id="77"/>
      <w:bookmarkEnd w:id="78"/>
      <w:bookmarkEnd w:id="79"/>
      <w:bookmarkEnd w:id="80"/>
    </w:p>
    <w:p>
      <w:pPr>
        <w:spacing w:line="360" w:lineRule="auto"/>
        <w:ind w:firstLine="480" w:firstLineChars="200"/>
        <w:contextualSpacing/>
        <w:rPr>
          <w:rFonts w:ascii="仿宋" w:hAnsi="仿宋" w:cs="仿宋"/>
          <w:szCs w:val="24"/>
        </w:rPr>
      </w:pPr>
      <w:r>
        <w:rPr>
          <w:rFonts w:hint="eastAsia" w:ascii="仿宋" w:hAnsi="仿宋" w:cs="仿宋"/>
          <w:szCs w:val="24"/>
        </w:rPr>
        <w:t>本次评审采用综合评分法。谈判小组首先对供应商递交的响应文件进行初步评审，初步评审通过后，对满足谈判采购文件实质性要求的谈判采购响应文件，按照本章规定的评分标准进行打分，</w:t>
      </w:r>
      <w:bookmarkStart w:id="238" w:name="_Toc152042378"/>
      <w:bookmarkStart w:id="239" w:name="_Toc179632619"/>
      <w:bookmarkStart w:id="240" w:name="_Toc152045601"/>
      <w:bookmarkStart w:id="241" w:name="_Toc144974568"/>
      <w:bookmarkStart w:id="242" w:name="_Toc233102565"/>
      <w:bookmarkStart w:id="243" w:name="_Toc479498355"/>
      <w:bookmarkStart w:id="244" w:name="_Toc452040033"/>
      <w:r>
        <w:rPr>
          <w:rFonts w:hint="eastAsia" w:ascii="仿宋" w:hAnsi="仿宋" w:cs="仿宋"/>
          <w:szCs w:val="24"/>
        </w:rPr>
        <w:t>评审结果按评审后得分由高到低顺序排列。谈判采购响应文件满足谈判采购文件全部实质性要求，且按照评审因素的量化指标评审得分最高的供应商为排名第一的成交候选人。</w:t>
      </w:r>
    </w:p>
    <w:p>
      <w:pPr>
        <w:spacing w:line="360" w:lineRule="auto"/>
        <w:ind w:firstLine="480" w:firstLineChars="200"/>
        <w:contextualSpacing/>
        <w:rPr>
          <w:rFonts w:ascii="仿宋" w:hAnsi="仿宋" w:cs="仿宋"/>
          <w:szCs w:val="24"/>
        </w:rPr>
      </w:pPr>
      <w:r>
        <w:rPr>
          <w:rFonts w:hint="eastAsia" w:ascii="仿宋" w:hAnsi="仿宋" w:cs="仿宋"/>
          <w:szCs w:val="24"/>
        </w:rPr>
        <w:t>若符合采购文件资格条件要求的供应商少于三家时，根据云南昆钢资产经营有限公司采购管理办法（文件编号：ZCZD00004-2025A）关于谈判采购要求，剩余两家供应商可以继续谈判，若符合资格条件的供应商只有一家则终止谈判。</w:t>
      </w:r>
    </w:p>
    <w:bookmarkEnd w:id="238"/>
    <w:bookmarkEnd w:id="239"/>
    <w:bookmarkEnd w:id="240"/>
    <w:bookmarkEnd w:id="241"/>
    <w:bookmarkEnd w:id="242"/>
    <w:p>
      <w:pPr>
        <w:spacing w:line="360" w:lineRule="auto"/>
        <w:ind w:firstLine="482" w:firstLineChars="200"/>
        <w:contextualSpacing/>
        <w:rPr>
          <w:rFonts w:ascii="仿宋" w:hAnsi="仿宋" w:cs="仿宋"/>
          <w:b/>
          <w:szCs w:val="24"/>
        </w:rPr>
      </w:pPr>
      <w:r>
        <w:rPr>
          <w:rFonts w:hint="eastAsia" w:ascii="仿宋" w:hAnsi="仿宋" w:cs="仿宋"/>
          <w:b/>
          <w:szCs w:val="24"/>
        </w:rPr>
        <w:t>（一）初步评审</w:t>
      </w:r>
      <w:bookmarkEnd w:id="243"/>
      <w:bookmarkEnd w:id="244"/>
    </w:p>
    <w:p>
      <w:pPr>
        <w:spacing w:line="360" w:lineRule="auto"/>
        <w:ind w:firstLine="480" w:firstLineChars="200"/>
        <w:rPr>
          <w:rFonts w:ascii="仿宋" w:hAnsi="仿宋" w:cs="仿宋"/>
          <w:szCs w:val="24"/>
        </w:rPr>
      </w:pPr>
      <w:bookmarkStart w:id="245" w:name="_Toc479498357"/>
      <w:r>
        <w:rPr>
          <w:rFonts w:hint="eastAsia" w:ascii="仿宋" w:hAnsi="仿宋" w:cs="仿宋"/>
          <w:szCs w:val="24"/>
        </w:rPr>
        <w:t>谈判小组首先对供应商递交的响应文件进行初步评审，初步评审包括形式评审、资格评审、响应性评审，谈判小组首先对供应商进行初步评审，只有在各方面满足初步评审标准，才能通过初步审查。</w:t>
      </w:r>
    </w:p>
    <w:p>
      <w:pPr>
        <w:spacing w:line="440" w:lineRule="exact"/>
        <w:ind w:firstLine="480" w:firstLineChars="200"/>
        <w:jc w:val="left"/>
        <w:rPr>
          <w:rFonts w:ascii="仿宋" w:hAnsi="仿宋" w:cs="仿宋"/>
          <w:szCs w:val="24"/>
        </w:rPr>
      </w:pPr>
      <w:r>
        <w:rPr>
          <w:rFonts w:ascii="仿宋" w:hAnsi="仿宋" w:cs="仿宋"/>
          <w:szCs w:val="24"/>
        </w:rPr>
        <w:t>初步评审评分标准：</w:t>
      </w:r>
    </w:p>
    <w:tbl>
      <w:tblPr>
        <w:tblStyle w:val="16"/>
        <w:tblW w:w="974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
        <w:gridCol w:w="1985"/>
        <w:gridCol w:w="2693"/>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jc w:val="center"/>
        </w:trPr>
        <w:tc>
          <w:tcPr>
            <w:tcW w:w="2378" w:type="dxa"/>
            <w:gridSpan w:val="2"/>
            <w:vAlign w:val="center"/>
          </w:tcPr>
          <w:p>
            <w:pPr>
              <w:spacing w:line="360" w:lineRule="auto"/>
              <w:jc w:val="center"/>
              <w:rPr>
                <w:rFonts w:ascii="仿宋" w:hAnsi="仿宋"/>
                <w:sz w:val="22"/>
                <w:szCs w:val="24"/>
              </w:rPr>
            </w:pPr>
            <w:r>
              <w:rPr>
                <w:rFonts w:hint="eastAsia" w:ascii="仿宋" w:hAnsi="仿宋"/>
                <w:sz w:val="22"/>
                <w:szCs w:val="24"/>
              </w:rPr>
              <w:t>序号</w:t>
            </w:r>
          </w:p>
        </w:tc>
        <w:tc>
          <w:tcPr>
            <w:tcW w:w="2693" w:type="dxa"/>
            <w:vAlign w:val="center"/>
          </w:tcPr>
          <w:p>
            <w:pPr>
              <w:spacing w:line="360" w:lineRule="auto"/>
              <w:jc w:val="center"/>
              <w:rPr>
                <w:rFonts w:ascii="仿宋" w:hAnsi="仿宋"/>
                <w:sz w:val="22"/>
                <w:szCs w:val="24"/>
              </w:rPr>
            </w:pPr>
            <w:r>
              <w:rPr>
                <w:rFonts w:hint="eastAsia" w:ascii="仿宋" w:hAnsi="仿宋"/>
                <w:sz w:val="22"/>
                <w:szCs w:val="24"/>
              </w:rPr>
              <w:t>评审因素</w:t>
            </w:r>
          </w:p>
        </w:tc>
        <w:tc>
          <w:tcPr>
            <w:tcW w:w="4678" w:type="dxa"/>
            <w:vAlign w:val="center"/>
          </w:tcPr>
          <w:p>
            <w:pPr>
              <w:spacing w:line="360" w:lineRule="auto"/>
              <w:jc w:val="center"/>
              <w:rPr>
                <w:rFonts w:ascii="仿宋" w:hAnsi="仿宋"/>
                <w:sz w:val="22"/>
                <w:szCs w:val="24"/>
              </w:rPr>
            </w:pPr>
            <w:r>
              <w:rPr>
                <w:rFonts w:hint="eastAsia" w:ascii="仿宋" w:hAnsi="仿宋"/>
                <w:sz w:val="22"/>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restart"/>
            <w:vAlign w:val="center"/>
          </w:tcPr>
          <w:p>
            <w:pPr>
              <w:spacing w:line="360" w:lineRule="auto"/>
              <w:jc w:val="center"/>
              <w:rPr>
                <w:rFonts w:ascii="仿宋" w:hAnsi="仿宋"/>
                <w:sz w:val="22"/>
                <w:szCs w:val="24"/>
              </w:rPr>
            </w:pPr>
            <w:r>
              <w:rPr>
                <w:rFonts w:hint="eastAsia" w:ascii="仿宋" w:hAnsi="仿宋"/>
                <w:sz w:val="22"/>
                <w:szCs w:val="24"/>
              </w:rPr>
              <w:t>1</w:t>
            </w:r>
          </w:p>
        </w:tc>
        <w:tc>
          <w:tcPr>
            <w:tcW w:w="1985" w:type="dxa"/>
            <w:vMerge w:val="restart"/>
            <w:vAlign w:val="center"/>
          </w:tcPr>
          <w:p>
            <w:pPr>
              <w:spacing w:line="360" w:lineRule="auto"/>
              <w:jc w:val="center"/>
              <w:rPr>
                <w:rFonts w:ascii="仿宋" w:hAnsi="仿宋"/>
                <w:sz w:val="22"/>
                <w:szCs w:val="24"/>
              </w:rPr>
            </w:pPr>
            <w:r>
              <w:rPr>
                <w:rFonts w:hint="eastAsia" w:ascii="仿宋" w:hAnsi="仿宋"/>
                <w:sz w:val="22"/>
                <w:szCs w:val="24"/>
              </w:rPr>
              <w:t>形式评审标准</w:t>
            </w:r>
          </w:p>
        </w:tc>
        <w:tc>
          <w:tcPr>
            <w:tcW w:w="2693" w:type="dxa"/>
            <w:vAlign w:val="center"/>
          </w:tcPr>
          <w:p>
            <w:pPr>
              <w:rPr>
                <w:rFonts w:ascii="仿宋" w:hAnsi="仿宋"/>
                <w:sz w:val="22"/>
                <w:szCs w:val="24"/>
              </w:rPr>
            </w:pPr>
            <w:r>
              <w:rPr>
                <w:rFonts w:hint="eastAsia" w:ascii="仿宋" w:hAnsi="仿宋"/>
                <w:sz w:val="22"/>
                <w:szCs w:val="24"/>
              </w:rPr>
              <w:t>供应商名称</w:t>
            </w:r>
          </w:p>
        </w:tc>
        <w:tc>
          <w:tcPr>
            <w:tcW w:w="4678" w:type="dxa"/>
            <w:vAlign w:val="center"/>
          </w:tcPr>
          <w:p>
            <w:pPr>
              <w:rPr>
                <w:rFonts w:ascii="仿宋" w:hAnsi="仿宋"/>
                <w:sz w:val="22"/>
                <w:szCs w:val="24"/>
              </w:rPr>
            </w:pPr>
            <w:r>
              <w:rPr>
                <w:rFonts w:hint="eastAsia" w:ascii="仿宋" w:hAnsi="仿宋"/>
                <w:sz w:val="22"/>
                <w:szCs w:val="24"/>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报价文件签字盖章</w:t>
            </w:r>
          </w:p>
        </w:tc>
        <w:tc>
          <w:tcPr>
            <w:tcW w:w="4678" w:type="dxa"/>
            <w:vAlign w:val="center"/>
          </w:tcPr>
          <w:p>
            <w:pPr>
              <w:rPr>
                <w:rFonts w:ascii="仿宋" w:hAnsi="仿宋"/>
                <w:sz w:val="22"/>
                <w:szCs w:val="24"/>
              </w:rPr>
            </w:pPr>
            <w:r>
              <w:rPr>
                <w:rFonts w:hint="eastAsia" w:ascii="仿宋" w:hAnsi="仿宋"/>
                <w:sz w:val="22"/>
                <w:szCs w:val="24"/>
              </w:rPr>
              <w:t>有法定代表人或其委托代理人签字、加盖单位章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报价文件格式</w:t>
            </w:r>
          </w:p>
        </w:tc>
        <w:tc>
          <w:tcPr>
            <w:tcW w:w="4678" w:type="dxa"/>
            <w:vAlign w:val="center"/>
          </w:tcPr>
          <w:p>
            <w:pPr>
              <w:rPr>
                <w:rFonts w:ascii="仿宋" w:hAnsi="仿宋"/>
                <w:sz w:val="22"/>
                <w:szCs w:val="24"/>
              </w:rPr>
            </w:pPr>
            <w:r>
              <w:rPr>
                <w:rFonts w:hint="eastAsia" w:ascii="仿宋" w:hAnsi="仿宋"/>
                <w:sz w:val="22"/>
                <w:szCs w:val="24"/>
              </w:rPr>
              <w:t>符合“报价文件格式”的要求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报价唯一</w:t>
            </w:r>
          </w:p>
        </w:tc>
        <w:tc>
          <w:tcPr>
            <w:tcW w:w="4678" w:type="dxa"/>
            <w:vAlign w:val="center"/>
          </w:tcPr>
          <w:p>
            <w:pPr>
              <w:rPr>
                <w:rFonts w:ascii="仿宋" w:hAnsi="仿宋"/>
                <w:sz w:val="22"/>
                <w:szCs w:val="24"/>
              </w:rPr>
            </w:pPr>
            <w:r>
              <w:rPr>
                <w:rFonts w:hint="eastAsia" w:ascii="仿宋" w:hAnsi="仿宋"/>
                <w:sz w:val="22"/>
                <w:szCs w:val="24"/>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jc w:val="center"/>
        </w:trPr>
        <w:tc>
          <w:tcPr>
            <w:tcW w:w="393" w:type="dxa"/>
            <w:vMerge w:val="restart"/>
            <w:vAlign w:val="center"/>
          </w:tcPr>
          <w:p>
            <w:pPr>
              <w:spacing w:line="360" w:lineRule="auto"/>
              <w:jc w:val="center"/>
              <w:rPr>
                <w:rFonts w:ascii="仿宋" w:hAnsi="仿宋"/>
                <w:sz w:val="22"/>
                <w:szCs w:val="24"/>
              </w:rPr>
            </w:pPr>
            <w:r>
              <w:rPr>
                <w:rFonts w:hint="eastAsia" w:ascii="仿宋" w:hAnsi="仿宋"/>
                <w:sz w:val="22"/>
                <w:szCs w:val="24"/>
              </w:rPr>
              <w:t>2</w:t>
            </w:r>
          </w:p>
        </w:tc>
        <w:tc>
          <w:tcPr>
            <w:tcW w:w="1985" w:type="dxa"/>
            <w:vMerge w:val="restart"/>
            <w:vAlign w:val="center"/>
          </w:tcPr>
          <w:p>
            <w:pPr>
              <w:spacing w:line="360" w:lineRule="auto"/>
              <w:jc w:val="center"/>
              <w:rPr>
                <w:rFonts w:ascii="仿宋" w:hAnsi="仿宋"/>
                <w:sz w:val="22"/>
                <w:szCs w:val="24"/>
              </w:rPr>
            </w:pPr>
            <w:r>
              <w:rPr>
                <w:rFonts w:hint="eastAsia" w:ascii="仿宋" w:hAnsi="仿宋"/>
                <w:sz w:val="22"/>
                <w:szCs w:val="24"/>
              </w:rPr>
              <w:t>资格评审标准</w:t>
            </w:r>
          </w:p>
        </w:tc>
        <w:tc>
          <w:tcPr>
            <w:tcW w:w="2693" w:type="dxa"/>
            <w:vAlign w:val="center"/>
          </w:tcPr>
          <w:p>
            <w:pPr>
              <w:rPr>
                <w:rFonts w:ascii="仿宋" w:hAnsi="仿宋"/>
                <w:sz w:val="22"/>
                <w:szCs w:val="24"/>
              </w:rPr>
            </w:pPr>
            <w:r>
              <w:rPr>
                <w:rFonts w:hint="eastAsia" w:ascii="仿宋" w:hAnsi="仿宋"/>
                <w:sz w:val="22"/>
                <w:szCs w:val="24"/>
              </w:rPr>
              <w:t>营业执照</w:t>
            </w:r>
          </w:p>
        </w:tc>
        <w:tc>
          <w:tcPr>
            <w:tcW w:w="4678" w:type="dxa"/>
            <w:vAlign w:val="center"/>
          </w:tcPr>
          <w:p>
            <w:pPr>
              <w:rPr>
                <w:rFonts w:ascii="仿宋" w:hAnsi="仿宋"/>
                <w:sz w:val="22"/>
                <w:szCs w:val="24"/>
              </w:rPr>
            </w:pPr>
            <w:r>
              <w:rPr>
                <w:rFonts w:hint="eastAsia" w:ascii="仿宋" w:hAnsi="仿宋"/>
                <w:sz w:val="22"/>
                <w:szCs w:val="24"/>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法定代表人身份证明</w:t>
            </w:r>
          </w:p>
        </w:tc>
        <w:tc>
          <w:tcPr>
            <w:tcW w:w="4678" w:type="dxa"/>
            <w:vAlign w:val="center"/>
          </w:tcPr>
          <w:p>
            <w:pPr>
              <w:rPr>
                <w:rFonts w:ascii="仿宋" w:hAnsi="仿宋"/>
                <w:sz w:val="22"/>
                <w:szCs w:val="24"/>
              </w:rPr>
            </w:pPr>
            <w:r>
              <w:rPr>
                <w:rFonts w:hint="eastAsia" w:ascii="仿宋" w:hAnsi="仿宋"/>
                <w:sz w:val="22"/>
                <w:szCs w:val="24"/>
              </w:rPr>
              <w:t>具备有效证明文件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法定代表人授权委托书</w:t>
            </w:r>
          </w:p>
        </w:tc>
        <w:tc>
          <w:tcPr>
            <w:tcW w:w="4678" w:type="dxa"/>
            <w:vAlign w:val="center"/>
          </w:tcPr>
          <w:p>
            <w:pPr>
              <w:rPr>
                <w:rFonts w:ascii="仿宋" w:hAnsi="仿宋"/>
                <w:sz w:val="22"/>
                <w:szCs w:val="24"/>
              </w:rPr>
            </w:pPr>
            <w:r>
              <w:rPr>
                <w:rFonts w:hint="eastAsia" w:ascii="仿宋" w:hAnsi="仿宋"/>
                <w:sz w:val="22"/>
                <w:szCs w:val="24"/>
              </w:rPr>
              <w:t>具备有效证明文件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3"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资质</w:t>
            </w:r>
          </w:p>
        </w:tc>
        <w:tc>
          <w:tcPr>
            <w:tcW w:w="4678" w:type="dxa"/>
            <w:vAlign w:val="center"/>
          </w:tcPr>
          <w:p>
            <w:pPr>
              <w:rPr>
                <w:rFonts w:ascii="仿宋" w:hAnsi="仿宋"/>
                <w:sz w:val="22"/>
                <w:szCs w:val="24"/>
              </w:rPr>
            </w:pPr>
            <w:r>
              <w:rPr>
                <w:rFonts w:hint="eastAsia" w:ascii="仿宋" w:hAnsi="仿宋"/>
                <w:sz w:val="22"/>
                <w:szCs w:val="24"/>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业绩要求</w:t>
            </w:r>
          </w:p>
        </w:tc>
        <w:tc>
          <w:tcPr>
            <w:tcW w:w="4678" w:type="dxa"/>
            <w:vAlign w:val="center"/>
          </w:tcPr>
          <w:p>
            <w:pPr>
              <w:rPr>
                <w:rFonts w:ascii="仿宋" w:hAnsi="仿宋"/>
                <w:sz w:val="22"/>
                <w:szCs w:val="24"/>
              </w:rPr>
            </w:pPr>
            <w:r>
              <w:rPr>
                <w:rFonts w:hint="eastAsia" w:ascii="仿宋" w:hAnsi="仿宋"/>
                <w:sz w:val="22"/>
                <w:szCs w:val="24"/>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jc w:val="center"/>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信誉要求</w:t>
            </w:r>
          </w:p>
        </w:tc>
        <w:tc>
          <w:tcPr>
            <w:tcW w:w="4678" w:type="dxa"/>
            <w:vAlign w:val="center"/>
          </w:tcPr>
          <w:p>
            <w:pPr>
              <w:rPr>
                <w:rFonts w:ascii="仿宋" w:hAnsi="仿宋"/>
                <w:sz w:val="22"/>
                <w:szCs w:val="24"/>
              </w:rPr>
            </w:pPr>
            <w:r>
              <w:rPr>
                <w:rFonts w:hint="eastAsia" w:ascii="仿宋" w:hAnsi="仿宋"/>
                <w:sz w:val="22"/>
                <w:szCs w:val="24"/>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restart"/>
            <w:vAlign w:val="center"/>
          </w:tcPr>
          <w:p>
            <w:pPr>
              <w:spacing w:line="360" w:lineRule="auto"/>
              <w:jc w:val="center"/>
              <w:rPr>
                <w:rFonts w:ascii="仿宋" w:hAnsi="仿宋"/>
                <w:sz w:val="22"/>
                <w:szCs w:val="24"/>
              </w:rPr>
            </w:pPr>
            <w:r>
              <w:rPr>
                <w:rFonts w:hint="eastAsia" w:ascii="仿宋" w:hAnsi="仿宋"/>
                <w:sz w:val="22"/>
                <w:szCs w:val="24"/>
              </w:rPr>
              <w:t>3</w:t>
            </w:r>
          </w:p>
        </w:tc>
        <w:tc>
          <w:tcPr>
            <w:tcW w:w="1985" w:type="dxa"/>
            <w:vMerge w:val="restart"/>
            <w:vAlign w:val="center"/>
          </w:tcPr>
          <w:p>
            <w:pPr>
              <w:spacing w:line="360" w:lineRule="auto"/>
              <w:jc w:val="center"/>
              <w:rPr>
                <w:rFonts w:ascii="仿宋" w:hAnsi="仿宋"/>
                <w:sz w:val="22"/>
                <w:szCs w:val="24"/>
              </w:rPr>
            </w:pPr>
            <w:r>
              <w:rPr>
                <w:rFonts w:hint="eastAsia" w:ascii="仿宋" w:hAnsi="仿宋"/>
                <w:sz w:val="22"/>
                <w:szCs w:val="24"/>
              </w:rPr>
              <w:t>响应性评审标准</w:t>
            </w:r>
          </w:p>
        </w:tc>
        <w:tc>
          <w:tcPr>
            <w:tcW w:w="2693" w:type="dxa"/>
            <w:vAlign w:val="center"/>
          </w:tcPr>
          <w:p>
            <w:pPr>
              <w:rPr>
                <w:rFonts w:ascii="仿宋" w:hAnsi="仿宋"/>
                <w:sz w:val="22"/>
                <w:szCs w:val="24"/>
              </w:rPr>
            </w:pPr>
            <w:r>
              <w:rPr>
                <w:rFonts w:hint="eastAsia" w:ascii="仿宋" w:hAnsi="仿宋"/>
                <w:sz w:val="22"/>
                <w:szCs w:val="24"/>
              </w:rPr>
              <w:t>响应内容</w:t>
            </w:r>
          </w:p>
        </w:tc>
        <w:tc>
          <w:tcPr>
            <w:tcW w:w="4678" w:type="dxa"/>
            <w:vAlign w:val="center"/>
          </w:tcPr>
          <w:p>
            <w:pPr>
              <w:rPr>
                <w:rFonts w:ascii="仿宋" w:hAnsi="仿宋"/>
                <w:sz w:val="22"/>
                <w:szCs w:val="24"/>
              </w:rPr>
            </w:pPr>
            <w:r>
              <w:rPr>
                <w:rFonts w:hint="eastAsia" w:ascii="仿宋" w:hAnsi="仿宋"/>
                <w:sz w:val="22"/>
                <w:szCs w:val="24"/>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393" w:type="dxa"/>
            <w:vMerge w:val="continue"/>
            <w:vAlign w:val="center"/>
          </w:tcPr>
          <w:p>
            <w:pPr>
              <w:spacing w:line="360" w:lineRule="auto"/>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服务期限</w:t>
            </w:r>
          </w:p>
        </w:tc>
        <w:tc>
          <w:tcPr>
            <w:tcW w:w="4678" w:type="dxa"/>
            <w:vAlign w:val="center"/>
          </w:tcPr>
          <w:p>
            <w:pPr>
              <w:rPr>
                <w:rFonts w:ascii="仿宋" w:hAnsi="仿宋"/>
                <w:sz w:val="22"/>
                <w:szCs w:val="24"/>
              </w:rPr>
            </w:pPr>
            <w:r>
              <w:rPr>
                <w:rFonts w:hint="eastAsia" w:ascii="仿宋" w:hAnsi="仿宋"/>
                <w:sz w:val="22"/>
                <w:szCs w:val="24"/>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393" w:type="dxa"/>
            <w:vMerge w:val="continue"/>
            <w:vAlign w:val="center"/>
          </w:tcPr>
          <w:p>
            <w:pPr>
              <w:spacing w:line="360" w:lineRule="auto"/>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服务要求</w:t>
            </w:r>
          </w:p>
        </w:tc>
        <w:tc>
          <w:tcPr>
            <w:tcW w:w="4678" w:type="dxa"/>
            <w:vAlign w:val="center"/>
          </w:tcPr>
          <w:p>
            <w:pPr>
              <w:rPr>
                <w:rFonts w:ascii="仿宋" w:hAnsi="仿宋"/>
                <w:sz w:val="22"/>
                <w:szCs w:val="24"/>
              </w:rPr>
            </w:pPr>
            <w:r>
              <w:rPr>
                <w:rFonts w:hint="eastAsia" w:ascii="仿宋" w:hAnsi="仿宋"/>
                <w:sz w:val="22"/>
                <w:szCs w:val="24"/>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jc w:val="center"/>
        </w:trPr>
        <w:tc>
          <w:tcPr>
            <w:tcW w:w="393" w:type="dxa"/>
            <w:vMerge w:val="continue"/>
            <w:vAlign w:val="center"/>
          </w:tcPr>
          <w:p>
            <w:pPr>
              <w:spacing w:line="360" w:lineRule="auto"/>
              <w:rPr>
                <w:rFonts w:ascii="仿宋" w:hAnsi="仿宋"/>
                <w:sz w:val="22"/>
                <w:szCs w:val="24"/>
              </w:rPr>
            </w:pPr>
          </w:p>
        </w:tc>
        <w:tc>
          <w:tcPr>
            <w:tcW w:w="1985" w:type="dxa"/>
            <w:vMerge w:val="continue"/>
            <w:vAlign w:val="center"/>
          </w:tcPr>
          <w:p>
            <w:pPr>
              <w:spacing w:line="360" w:lineRule="auto"/>
              <w:jc w:val="center"/>
              <w:rPr>
                <w:rFonts w:ascii="仿宋" w:hAnsi="仿宋"/>
                <w:sz w:val="22"/>
                <w:szCs w:val="24"/>
              </w:rPr>
            </w:pPr>
          </w:p>
        </w:tc>
        <w:tc>
          <w:tcPr>
            <w:tcW w:w="2693" w:type="dxa"/>
            <w:vAlign w:val="center"/>
          </w:tcPr>
          <w:p>
            <w:pPr>
              <w:rPr>
                <w:rFonts w:ascii="仿宋" w:hAnsi="仿宋"/>
                <w:sz w:val="22"/>
                <w:szCs w:val="24"/>
              </w:rPr>
            </w:pPr>
            <w:r>
              <w:rPr>
                <w:rFonts w:hint="eastAsia" w:ascii="仿宋" w:hAnsi="仿宋"/>
                <w:sz w:val="22"/>
                <w:szCs w:val="24"/>
              </w:rPr>
              <w:t>报价实质性响应</w:t>
            </w:r>
          </w:p>
        </w:tc>
        <w:tc>
          <w:tcPr>
            <w:tcW w:w="4678" w:type="dxa"/>
            <w:vAlign w:val="center"/>
          </w:tcPr>
          <w:p>
            <w:pPr>
              <w:tabs>
                <w:tab w:val="left" w:pos="3254"/>
              </w:tabs>
              <w:rPr>
                <w:rFonts w:ascii="仿宋" w:hAnsi="仿宋"/>
                <w:sz w:val="22"/>
                <w:szCs w:val="24"/>
              </w:rPr>
            </w:pPr>
            <w:r>
              <w:rPr>
                <w:rFonts w:hint="eastAsia" w:ascii="仿宋" w:hAnsi="仿宋"/>
                <w:sz w:val="22"/>
                <w:szCs w:val="24"/>
              </w:rPr>
              <w:t>符合采购文件规定</w:t>
            </w:r>
            <w:r>
              <w:rPr>
                <w:rFonts w:hint="eastAsia" w:ascii="仿宋" w:hAnsi="仿宋"/>
                <w:sz w:val="22"/>
                <w:szCs w:val="24"/>
              </w:rPr>
              <w:tab/>
            </w:r>
          </w:p>
        </w:tc>
      </w:tr>
    </w:tbl>
    <w:p>
      <w:pPr>
        <w:spacing w:line="360" w:lineRule="auto"/>
        <w:ind w:firstLine="482" w:firstLineChars="200"/>
        <w:rPr>
          <w:rFonts w:ascii="仿宋" w:hAnsi="仿宋" w:cs="仿宋"/>
          <w:b/>
          <w:bCs/>
        </w:rPr>
      </w:pPr>
    </w:p>
    <w:bookmarkEnd w:id="245"/>
    <w:p>
      <w:pPr>
        <w:spacing w:line="360" w:lineRule="auto"/>
        <w:ind w:firstLine="482" w:firstLineChars="200"/>
        <w:rPr>
          <w:rFonts w:ascii="仿宋" w:hAnsi="仿宋" w:cs="仿宋"/>
          <w:b/>
          <w:bCs/>
        </w:rPr>
      </w:pPr>
      <w:bookmarkStart w:id="246" w:name="_Toc179632621"/>
      <w:bookmarkStart w:id="247" w:name="_Toc233102567"/>
      <w:bookmarkStart w:id="248" w:name="_Toc152045603"/>
      <w:bookmarkStart w:id="249" w:name="_Toc144974570"/>
      <w:bookmarkStart w:id="250" w:name="_Toc152042380"/>
      <w:bookmarkStart w:id="251" w:name="_Toc327974143"/>
      <w:r>
        <w:rPr>
          <w:rFonts w:hint="eastAsia" w:ascii="仿宋" w:hAnsi="仿宋" w:cs="仿宋"/>
          <w:b/>
          <w:bCs/>
        </w:rPr>
        <w:t>（二）现场谈判及最终报价</w:t>
      </w:r>
    </w:p>
    <w:p>
      <w:pPr>
        <w:spacing w:line="360" w:lineRule="auto"/>
        <w:ind w:firstLine="480" w:firstLineChars="200"/>
        <w:rPr>
          <w:rFonts w:ascii="仿宋" w:hAnsi="仿宋" w:cs="仿宋"/>
          <w:szCs w:val="24"/>
        </w:rPr>
      </w:pPr>
      <w:r>
        <w:rPr>
          <w:rFonts w:hint="eastAsia" w:ascii="仿宋" w:hAnsi="仿宋" w:cs="仿宋"/>
          <w:szCs w:val="24"/>
        </w:rPr>
        <w:t>谈判小组与通过初步评审的供应商</w:t>
      </w:r>
      <w:r>
        <w:rPr>
          <w:rFonts w:ascii="仿宋" w:hAnsi="仿宋"/>
          <w:szCs w:val="24"/>
        </w:rPr>
        <w:t>分别进行谈判</w:t>
      </w:r>
      <w:r>
        <w:rPr>
          <w:rFonts w:hint="eastAsia" w:ascii="仿宋" w:hAnsi="仿宋"/>
          <w:szCs w:val="24"/>
        </w:rPr>
        <w:t>，并以二次报价为最终报价给予综合评分</w:t>
      </w:r>
      <w:r>
        <w:rPr>
          <w:rFonts w:hint="eastAsia" w:ascii="仿宋" w:hAnsi="仿宋" w:cs="仿宋"/>
          <w:szCs w:val="24"/>
        </w:rPr>
        <w:t>。</w:t>
      </w:r>
    </w:p>
    <w:bookmarkEnd w:id="246"/>
    <w:bookmarkEnd w:id="247"/>
    <w:bookmarkEnd w:id="248"/>
    <w:bookmarkEnd w:id="249"/>
    <w:bookmarkEnd w:id="250"/>
    <w:p>
      <w:pPr>
        <w:spacing w:line="360" w:lineRule="auto"/>
        <w:ind w:firstLine="482" w:firstLineChars="200"/>
        <w:rPr>
          <w:rFonts w:ascii="仿宋" w:hAnsi="仿宋" w:cs="仿宋"/>
          <w:b/>
          <w:bCs/>
          <w:szCs w:val="24"/>
        </w:rPr>
      </w:pPr>
      <w:bookmarkStart w:id="252" w:name="_Toc27055"/>
      <w:bookmarkStart w:id="253" w:name="_Toc452040035"/>
      <w:bookmarkStart w:id="254" w:name="_Toc479498360"/>
      <w:bookmarkStart w:id="255" w:name="_Toc1661"/>
      <w:bookmarkStart w:id="256" w:name="_Toc31373"/>
      <w:bookmarkStart w:id="257" w:name="_Toc16487"/>
      <w:bookmarkStart w:id="258" w:name="_Toc12288"/>
      <w:bookmarkStart w:id="259" w:name="_Toc8416"/>
      <w:bookmarkStart w:id="260" w:name="_Toc57280611"/>
      <w:bookmarkStart w:id="261" w:name="_Toc24071"/>
      <w:r>
        <w:rPr>
          <w:rFonts w:hint="eastAsia" w:ascii="仿宋" w:hAnsi="仿宋" w:cs="仿宋"/>
          <w:b/>
          <w:bCs/>
          <w:szCs w:val="24"/>
        </w:rPr>
        <w:t>（三）详细评审</w:t>
      </w:r>
      <w:bookmarkEnd w:id="252"/>
      <w:bookmarkEnd w:id="253"/>
      <w:bookmarkEnd w:id="254"/>
      <w:bookmarkEnd w:id="255"/>
      <w:bookmarkEnd w:id="256"/>
      <w:bookmarkEnd w:id="257"/>
      <w:bookmarkEnd w:id="258"/>
      <w:bookmarkEnd w:id="259"/>
      <w:bookmarkEnd w:id="260"/>
      <w:bookmarkEnd w:id="261"/>
      <w:bookmarkStart w:id="262" w:name="_Toc152042385"/>
      <w:bookmarkStart w:id="263" w:name="_Toc144974575"/>
      <w:bookmarkStart w:id="264" w:name="_Toc179632625"/>
      <w:bookmarkStart w:id="265" w:name="_Toc233102571"/>
      <w:bookmarkStart w:id="266" w:name="_Toc152045607"/>
    </w:p>
    <w:p>
      <w:pPr>
        <w:spacing w:line="360" w:lineRule="auto"/>
        <w:ind w:firstLine="480" w:firstLineChars="200"/>
        <w:rPr>
          <w:rFonts w:ascii="仿宋" w:hAnsi="仿宋" w:cs="仿宋"/>
          <w:szCs w:val="24"/>
        </w:rPr>
      </w:pPr>
      <w:r>
        <w:rPr>
          <w:rFonts w:hint="eastAsia" w:ascii="仿宋" w:hAnsi="仿宋" w:cs="仿宋"/>
          <w:bCs/>
          <w:szCs w:val="24"/>
        </w:rPr>
        <w:t>1.</w:t>
      </w:r>
      <w:r>
        <w:rPr>
          <w:rFonts w:hint="eastAsia" w:ascii="仿宋" w:hAnsi="仿宋" w:cs="仿宋"/>
          <w:szCs w:val="24"/>
        </w:rPr>
        <w:t>本次评审采用综合评分法。谈判小组对满足谈判采购文件初步评审要求的谈判采购响应文件，按照详细评审表规定的评分标准进行打分，并按评审总得分计算公式计算评审总得分，按总得分由高到低的顺序推荐1-3名成交候选人；评审总得分相等时，按技术部分得分高低的顺序进行排序，技术部分得分相同的，按报价得分高低进行排序。</w:t>
      </w:r>
    </w:p>
    <w:bookmarkEnd w:id="262"/>
    <w:bookmarkEnd w:id="263"/>
    <w:bookmarkEnd w:id="264"/>
    <w:bookmarkEnd w:id="265"/>
    <w:bookmarkEnd w:id="266"/>
    <w:p>
      <w:pPr>
        <w:spacing w:line="360" w:lineRule="auto"/>
        <w:ind w:firstLine="480" w:firstLineChars="200"/>
        <w:rPr>
          <w:rFonts w:ascii="仿宋" w:hAnsi="仿宋" w:cs="仿宋"/>
          <w:szCs w:val="24"/>
        </w:rPr>
      </w:pPr>
      <w:r>
        <w:rPr>
          <w:rFonts w:hint="eastAsia" w:ascii="仿宋" w:hAnsi="仿宋" w:cs="仿宋"/>
          <w:bCs/>
          <w:szCs w:val="24"/>
        </w:rPr>
        <w:t>2.</w:t>
      </w:r>
      <w:r>
        <w:rPr>
          <w:rFonts w:hint="eastAsia" w:ascii="仿宋" w:hAnsi="仿宋" w:cs="仿宋"/>
          <w:szCs w:val="24"/>
        </w:rPr>
        <w:t>谈判小组发现采购文件存在歧义、重大缺陷导致评审工作无法进行，或者采购文件内容违反国家有关规定的，供应商提供虚假材料、串通等违法违规行为的，要停止对该供应商评审工作。</w:t>
      </w:r>
    </w:p>
    <w:p>
      <w:pPr>
        <w:spacing w:line="360" w:lineRule="auto"/>
        <w:ind w:firstLine="482" w:firstLineChars="200"/>
        <w:rPr>
          <w:rFonts w:ascii="仿宋" w:hAnsi="仿宋" w:cs="仿宋"/>
          <w:b/>
          <w:bCs/>
          <w:szCs w:val="24"/>
        </w:rPr>
      </w:pPr>
      <w:bookmarkStart w:id="267" w:name="_Toc10939"/>
      <w:bookmarkStart w:id="268" w:name="_Toc479498362"/>
      <w:bookmarkStart w:id="269" w:name="_Toc233102572"/>
      <w:bookmarkStart w:id="270" w:name="_Toc14408"/>
      <w:bookmarkStart w:id="271" w:name="_Toc152042386"/>
      <w:bookmarkStart w:id="272" w:name="_Toc152045608"/>
      <w:bookmarkStart w:id="273" w:name="_Toc28971"/>
      <w:bookmarkStart w:id="274" w:name="_Toc4209"/>
      <w:bookmarkStart w:id="275" w:name="_Toc452040037"/>
      <w:bookmarkStart w:id="276" w:name="_Toc57280613"/>
      <w:bookmarkStart w:id="277" w:name="_Toc179632626"/>
      <w:bookmarkStart w:id="278" w:name="_Toc9894"/>
      <w:bookmarkStart w:id="279" w:name="_Toc144974576"/>
      <w:bookmarkStart w:id="280" w:name="_Toc14488"/>
      <w:bookmarkStart w:id="281" w:name="_Toc14180"/>
      <w:r>
        <w:rPr>
          <w:rFonts w:hint="eastAsia" w:ascii="仿宋" w:hAnsi="仿宋" w:cs="仿宋"/>
          <w:b/>
          <w:bCs/>
          <w:szCs w:val="24"/>
        </w:rPr>
        <w:t>（四）评审结果</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spacing w:line="360" w:lineRule="auto"/>
        <w:ind w:firstLine="480" w:firstLineChars="200"/>
        <w:rPr>
          <w:rFonts w:ascii="仿宋" w:hAnsi="仿宋" w:cs="仿宋"/>
          <w:szCs w:val="24"/>
        </w:rPr>
      </w:pPr>
      <w:r>
        <w:rPr>
          <w:rFonts w:hint="eastAsia" w:ascii="仿宋" w:hAnsi="仿宋" w:cs="仿宋"/>
          <w:szCs w:val="24"/>
        </w:rPr>
        <w:t>谈判结果经资产公司相关会议审议后在云南省国资阳光采购平台公布成交结果。</w:t>
      </w:r>
    </w:p>
    <w:p>
      <w:pPr>
        <w:spacing w:line="360" w:lineRule="auto"/>
        <w:ind w:firstLine="482" w:firstLineChars="200"/>
        <w:rPr>
          <w:rFonts w:ascii="仿宋" w:hAnsi="仿宋" w:cs="仿宋"/>
          <w:b/>
          <w:bCs/>
          <w:szCs w:val="24"/>
        </w:rPr>
      </w:pPr>
      <w:r>
        <w:rPr>
          <w:rFonts w:hint="eastAsia" w:ascii="仿宋" w:hAnsi="仿宋" w:cs="仿宋"/>
          <w:b/>
          <w:bCs/>
          <w:szCs w:val="24"/>
        </w:rPr>
        <w:t>6.详细评审标准</w:t>
      </w:r>
    </w:p>
    <w:bookmarkEnd w:id="81"/>
    <w:bookmarkEnd w:id="251"/>
    <w:tbl>
      <w:tblPr>
        <w:tblStyle w:val="16"/>
        <w:tblpPr w:leftFromText="180" w:rightFromText="180" w:vertAnchor="text" w:horzAnchor="margin" w:tblpXSpec="center" w:tblpY="95"/>
        <w:tblW w:w="9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539"/>
        <w:gridCol w:w="567"/>
        <w:gridCol w:w="7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83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sz w:val="24"/>
                <w:szCs w:val="24"/>
              </w:rPr>
            </w:pPr>
            <w:bookmarkStart w:id="282" w:name="_Toc248"/>
            <w:r>
              <w:rPr>
                <w:rFonts w:hint="eastAsia" w:ascii="仿宋" w:hAnsi="仿宋" w:cs="仿宋"/>
                <w:bCs/>
                <w:kern w:val="2"/>
                <w:sz w:val="24"/>
                <w:szCs w:val="24"/>
              </w:rPr>
              <w:t>序号</w:t>
            </w:r>
          </w:p>
        </w:tc>
        <w:tc>
          <w:tcPr>
            <w:tcW w:w="153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sz w:val="24"/>
                <w:szCs w:val="24"/>
              </w:rPr>
            </w:pPr>
            <w:r>
              <w:rPr>
                <w:rFonts w:hint="eastAsia" w:ascii="仿宋" w:hAnsi="仿宋" w:cs="仿宋"/>
                <w:bCs/>
                <w:kern w:val="2"/>
                <w:sz w:val="24"/>
                <w:szCs w:val="24"/>
              </w:rPr>
              <w:t>评审内容</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sz w:val="24"/>
                <w:szCs w:val="24"/>
              </w:rPr>
            </w:pPr>
            <w:r>
              <w:rPr>
                <w:rFonts w:hint="eastAsia" w:ascii="仿宋" w:hAnsi="仿宋" w:cs="仿宋"/>
                <w:bCs/>
                <w:kern w:val="2"/>
                <w:sz w:val="24"/>
                <w:szCs w:val="24"/>
              </w:rPr>
              <w:t>满分</w:t>
            </w:r>
          </w:p>
        </w:tc>
        <w:tc>
          <w:tcPr>
            <w:tcW w:w="7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ind w:firstLine="510"/>
              <w:jc w:val="center"/>
              <w:rPr>
                <w:rFonts w:ascii="仿宋" w:hAnsi="仿宋" w:cs="仿宋"/>
                <w:bCs/>
                <w:sz w:val="24"/>
                <w:szCs w:val="24"/>
              </w:rPr>
            </w:pPr>
            <w:r>
              <w:rPr>
                <w:rFonts w:hint="eastAsia" w:ascii="仿宋" w:hAnsi="仿宋" w:cs="仿宋"/>
                <w:bCs/>
                <w:kern w:val="2"/>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0" w:hRule="atLeast"/>
        </w:trPr>
        <w:tc>
          <w:tcPr>
            <w:tcW w:w="83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1</w:t>
            </w:r>
          </w:p>
        </w:tc>
        <w:tc>
          <w:tcPr>
            <w:tcW w:w="153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非现货电量交易价格</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50分</w:t>
            </w:r>
          </w:p>
        </w:tc>
        <w:tc>
          <w:tcPr>
            <w:tcW w:w="7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both"/>
              <w:rPr>
                <w:rFonts w:ascii="仿宋" w:hAnsi="仿宋" w:cs="仿宋"/>
                <w:bCs/>
                <w:kern w:val="2"/>
                <w:sz w:val="24"/>
                <w:szCs w:val="24"/>
              </w:rPr>
            </w:pPr>
            <w:bookmarkStart w:id="283" w:name="OLE_LINK17"/>
            <w:r>
              <w:rPr>
                <w:rFonts w:hint="eastAsia" w:ascii="仿宋" w:hAnsi="仿宋" w:cs="仿宋"/>
                <w:bCs/>
                <w:kern w:val="2"/>
                <w:sz w:val="24"/>
                <w:szCs w:val="24"/>
              </w:rPr>
              <w:t>最终报价得分=（评审基准价/最终报价）×50</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注：评审基准价为有效报价中的最低价</w:t>
            </w:r>
            <w:bookmarkEnd w:id="283"/>
            <w:r>
              <w:rPr>
                <w:rFonts w:hint="eastAsia" w:ascii="仿宋" w:hAnsi="仿宋" w:cs="仿宋"/>
                <w:bCs/>
                <w:kern w:val="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83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2</w:t>
            </w:r>
          </w:p>
        </w:tc>
        <w:tc>
          <w:tcPr>
            <w:tcW w:w="153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bookmarkStart w:id="284" w:name="OLE_LINK32"/>
            <w:bookmarkStart w:id="285" w:name="OLE_LINK31"/>
            <w:r>
              <w:rPr>
                <w:rFonts w:hint="eastAsia" w:ascii="仿宋" w:hAnsi="仿宋" w:cs="仿宋"/>
                <w:bCs/>
                <w:kern w:val="2"/>
                <w:sz w:val="24"/>
                <w:szCs w:val="24"/>
              </w:rPr>
              <w:t>非现货电量交易价格</w:t>
            </w:r>
            <w:bookmarkEnd w:id="284"/>
            <w:bookmarkEnd w:id="285"/>
            <w:r>
              <w:rPr>
                <w:rFonts w:hint="eastAsia" w:ascii="仿宋" w:hAnsi="仿宋" w:cs="仿宋"/>
                <w:bCs/>
                <w:kern w:val="2"/>
                <w:sz w:val="24"/>
                <w:szCs w:val="24"/>
              </w:rPr>
              <w:t>浮动率</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10分</w:t>
            </w:r>
          </w:p>
        </w:tc>
        <w:tc>
          <w:tcPr>
            <w:tcW w:w="7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both"/>
              <w:rPr>
                <w:rFonts w:ascii="仿宋" w:hAnsi="仿宋" w:cs="仿宋"/>
                <w:bCs/>
                <w:kern w:val="2"/>
                <w:sz w:val="24"/>
                <w:szCs w:val="24"/>
              </w:rPr>
            </w:pPr>
            <w:bookmarkStart w:id="286" w:name="OLE_LINK36"/>
            <w:bookmarkStart w:id="287" w:name="OLE_LINK37"/>
            <w:r>
              <w:rPr>
                <w:rFonts w:hint="eastAsia" w:ascii="仿宋" w:hAnsi="仿宋" w:cs="仿宋"/>
                <w:bCs/>
                <w:kern w:val="2"/>
                <w:sz w:val="24"/>
                <w:szCs w:val="24"/>
              </w:rPr>
              <w:t>最终得分=（非现货电量交易基准浮动率/最终浮动率）×10</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注：非现货电量交易基准浮动率为有效报价中的最小浮动率</w:t>
            </w:r>
            <w:bookmarkEnd w:id="286"/>
            <w:bookmarkEnd w:id="2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837"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3</w:t>
            </w:r>
          </w:p>
        </w:tc>
        <w:tc>
          <w:tcPr>
            <w:tcW w:w="1539"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sz w:val="24"/>
                <w:szCs w:val="24"/>
              </w:rPr>
              <w:t>购电代理服务方案</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15分</w:t>
            </w:r>
          </w:p>
        </w:tc>
        <w:tc>
          <w:tcPr>
            <w:tcW w:w="7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第一个档次（13-15分）：供应商所提供的购电代理服务方案优于</w:t>
            </w:r>
            <w:r>
              <w:rPr>
                <w:rFonts w:hint="eastAsia" w:ascii="仿宋" w:hAnsi="仿宋" w:cs="仿宋"/>
                <w:bCs/>
                <w:sz w:val="24"/>
                <w:szCs w:val="24"/>
              </w:rPr>
              <w:t>谈判采购文件要求，且</w:t>
            </w:r>
            <w:r>
              <w:rPr>
                <w:rFonts w:hint="eastAsia" w:ascii="仿宋" w:hAnsi="仿宋" w:cs="仿宋"/>
                <w:bCs/>
                <w:kern w:val="2"/>
                <w:sz w:val="24"/>
                <w:szCs w:val="24"/>
              </w:rPr>
              <w:t>内容完全完整、详细，针对性很强，能够很好的满足采购人实际需求的；</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第二个档次（9-12分）：供应商所提供的购电代理服务方案满足</w:t>
            </w:r>
            <w:r>
              <w:rPr>
                <w:rFonts w:hint="eastAsia" w:ascii="仿宋" w:hAnsi="仿宋" w:cs="仿宋"/>
                <w:bCs/>
                <w:sz w:val="24"/>
                <w:szCs w:val="24"/>
              </w:rPr>
              <w:t>谈判采购文件要求，且</w:t>
            </w:r>
            <w:r>
              <w:rPr>
                <w:rFonts w:hint="eastAsia" w:ascii="仿宋" w:hAnsi="仿宋" w:cs="仿宋"/>
                <w:bCs/>
                <w:kern w:val="2"/>
                <w:sz w:val="24"/>
                <w:szCs w:val="24"/>
              </w:rPr>
              <w:t>内容完整，有一定的针对性，能够满足采购人实际需求的；</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第三个档次（7-8分）：供应商所提供的购电代理服务方案满足</w:t>
            </w:r>
            <w:r>
              <w:rPr>
                <w:rFonts w:hint="eastAsia" w:ascii="仿宋" w:hAnsi="仿宋" w:cs="仿宋"/>
                <w:bCs/>
                <w:sz w:val="24"/>
                <w:szCs w:val="24"/>
              </w:rPr>
              <w:t>谈判采购文件要求，且</w:t>
            </w:r>
            <w:r>
              <w:rPr>
                <w:rFonts w:hint="eastAsia" w:ascii="仿宋" w:hAnsi="仿宋" w:cs="仿宋"/>
                <w:bCs/>
                <w:kern w:val="2"/>
                <w:sz w:val="24"/>
                <w:szCs w:val="24"/>
              </w:rPr>
              <w:t>内容基本完整，针对性一般，基本能够满足采购人实际需求的；</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第四个档次（4-6分）：供应商所提供的购电代理服务方案满足</w:t>
            </w:r>
            <w:r>
              <w:rPr>
                <w:rFonts w:hint="eastAsia" w:ascii="仿宋" w:hAnsi="仿宋" w:cs="仿宋"/>
                <w:bCs/>
                <w:sz w:val="24"/>
                <w:szCs w:val="24"/>
              </w:rPr>
              <w:t>谈判采购文件要求，</w:t>
            </w:r>
            <w:r>
              <w:rPr>
                <w:rFonts w:hint="eastAsia" w:ascii="仿宋" w:hAnsi="仿宋" w:cs="仿宋"/>
                <w:bCs/>
                <w:kern w:val="2"/>
                <w:sz w:val="24"/>
                <w:szCs w:val="24"/>
              </w:rPr>
              <w:t>内容一般的，基本能够满足采购人实际需求的；</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第五个档次（1-3分）：供应商所提供的购电代理服务方案内容漏缺，粗糙，不具有针对性，无法满足采购人实际需求的。</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kern w:val="2"/>
                <w:sz w:val="24"/>
                <w:szCs w:val="24"/>
              </w:rPr>
              <w:t>第六个档次（0分）：未提供不得分。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trPr>
        <w:tc>
          <w:tcPr>
            <w:tcW w:w="837"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4</w:t>
            </w:r>
          </w:p>
        </w:tc>
        <w:tc>
          <w:tcPr>
            <w:tcW w:w="1539"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服务质量承诺及措施方案</w:t>
            </w:r>
          </w:p>
        </w:tc>
        <w:tc>
          <w:tcPr>
            <w:tcW w:w="567"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10分</w:t>
            </w:r>
          </w:p>
        </w:tc>
        <w:tc>
          <w:tcPr>
            <w:tcW w:w="70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 w:hAnsi="仿宋" w:cs="仿宋"/>
                <w:bCs/>
                <w:szCs w:val="24"/>
              </w:rPr>
            </w:pPr>
            <w:r>
              <w:rPr>
                <w:rFonts w:hint="eastAsia" w:ascii="仿宋" w:hAnsi="仿宋" w:cs="仿宋"/>
                <w:bCs/>
                <w:szCs w:val="24"/>
              </w:rPr>
              <w:t>按供应商所提供的服务质量承诺详细程度，服务质量措施合理程度且质量管理体系的完善程度打分：</w:t>
            </w:r>
          </w:p>
          <w:p>
            <w:pPr>
              <w:widowControl/>
              <w:spacing w:line="360" w:lineRule="auto"/>
              <w:jc w:val="left"/>
              <w:rPr>
                <w:rFonts w:ascii="仿宋" w:hAnsi="仿宋" w:cs="仿宋"/>
                <w:bCs/>
                <w:szCs w:val="24"/>
              </w:rPr>
            </w:pPr>
            <w:r>
              <w:rPr>
                <w:rFonts w:hint="eastAsia" w:ascii="仿宋" w:hAnsi="仿宋" w:cs="仿宋"/>
                <w:bCs/>
                <w:szCs w:val="24"/>
              </w:rPr>
              <w:t>第一个档次（8-10分）：服务质量优于谈判采购文件要求，服务质量承诺详细全面，服务质量措施合理可行的；</w:t>
            </w:r>
          </w:p>
          <w:p>
            <w:pPr>
              <w:widowControl/>
              <w:spacing w:line="360" w:lineRule="auto"/>
              <w:jc w:val="left"/>
              <w:rPr>
                <w:rFonts w:ascii="仿宋" w:hAnsi="仿宋" w:cs="仿宋"/>
                <w:bCs/>
                <w:szCs w:val="24"/>
              </w:rPr>
            </w:pPr>
            <w:r>
              <w:rPr>
                <w:rFonts w:hint="eastAsia" w:ascii="仿宋" w:hAnsi="仿宋" w:cs="仿宋"/>
                <w:bCs/>
                <w:szCs w:val="24"/>
              </w:rPr>
              <w:t>第二个档次（4-7分）：服务质量满足谈判采购文件要求，有服务质量承诺、服务质量措施、质量管理体系，有服务质量违约承诺及措施且无缺陷的；</w:t>
            </w:r>
          </w:p>
          <w:p>
            <w:pPr>
              <w:widowControl/>
              <w:spacing w:line="360" w:lineRule="auto"/>
              <w:jc w:val="left"/>
              <w:rPr>
                <w:rFonts w:ascii="仿宋" w:hAnsi="仿宋" w:cs="仿宋"/>
                <w:bCs/>
                <w:szCs w:val="24"/>
              </w:rPr>
            </w:pPr>
            <w:r>
              <w:rPr>
                <w:rFonts w:hint="eastAsia" w:ascii="仿宋" w:hAnsi="仿宋" w:cs="仿宋"/>
                <w:bCs/>
                <w:szCs w:val="24"/>
              </w:rPr>
              <w:t>第三个档次（1-3分）：服务质量满足谈判采购文件要求，但服务质量承诺、服务措施、违约承诺存在缺陷的；</w:t>
            </w:r>
          </w:p>
          <w:p>
            <w:pPr>
              <w:pStyle w:val="13"/>
              <w:widowControl w:val="0"/>
              <w:spacing w:before="0" w:beforeAutospacing="0" w:after="0" w:afterAutospacing="0" w:line="360" w:lineRule="auto"/>
              <w:jc w:val="both"/>
              <w:rPr>
                <w:rFonts w:ascii="仿宋" w:hAnsi="仿宋" w:cs="仿宋"/>
                <w:bCs/>
                <w:kern w:val="2"/>
                <w:sz w:val="24"/>
                <w:szCs w:val="24"/>
              </w:rPr>
            </w:pPr>
            <w:r>
              <w:rPr>
                <w:rFonts w:hint="eastAsia" w:ascii="仿宋" w:hAnsi="仿宋" w:cs="仿宋"/>
                <w:bCs/>
                <w:sz w:val="24"/>
                <w:szCs w:val="24"/>
              </w:rPr>
              <w:t>第四个档次（0分）：服务质量不满足谈判采购文件要求或未提供服务质量承诺或方案存在重大缺陷的。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6" w:hRule="atLeast"/>
        </w:trPr>
        <w:tc>
          <w:tcPr>
            <w:tcW w:w="837"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5</w:t>
            </w:r>
          </w:p>
        </w:tc>
        <w:tc>
          <w:tcPr>
            <w:tcW w:w="1539"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交易记录</w:t>
            </w:r>
          </w:p>
        </w:tc>
        <w:tc>
          <w:tcPr>
            <w:tcW w:w="567" w:type="dxa"/>
            <w:tcBorders>
              <w:top w:val="single" w:color="auto" w:sz="4" w:space="0"/>
              <w:left w:val="single" w:color="auto" w:sz="4" w:space="0"/>
              <w:right w:val="single" w:color="auto" w:sz="4" w:space="0"/>
            </w:tcBorders>
            <w:shd w:val="clear" w:color="auto" w:fill="auto"/>
            <w:vAlign w:val="center"/>
          </w:tcPr>
          <w:p>
            <w:pPr>
              <w:pStyle w:val="13"/>
              <w:widowControl w:val="0"/>
              <w:spacing w:before="0" w:beforeAutospacing="0" w:after="0" w:afterAutospacing="0" w:line="360" w:lineRule="auto"/>
              <w:jc w:val="center"/>
              <w:rPr>
                <w:rFonts w:ascii="仿宋" w:hAnsi="仿宋" w:cs="仿宋"/>
                <w:bCs/>
                <w:kern w:val="2"/>
                <w:sz w:val="24"/>
                <w:szCs w:val="24"/>
              </w:rPr>
            </w:pPr>
            <w:r>
              <w:rPr>
                <w:rFonts w:hint="eastAsia" w:ascii="仿宋" w:hAnsi="仿宋" w:cs="仿宋"/>
                <w:bCs/>
                <w:kern w:val="2"/>
                <w:sz w:val="24"/>
                <w:szCs w:val="24"/>
              </w:rPr>
              <w:t>15分</w:t>
            </w:r>
          </w:p>
        </w:tc>
        <w:tc>
          <w:tcPr>
            <w:tcW w:w="70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atLeast"/>
              <w:jc w:val="left"/>
              <w:rPr>
                <w:rFonts w:ascii="仿宋" w:hAnsi="仿宋" w:cs="仿宋"/>
                <w:bCs/>
                <w:color w:val="FF0000"/>
                <w:szCs w:val="24"/>
              </w:rPr>
            </w:pPr>
            <w:bookmarkStart w:id="288" w:name="OLE_LINK45"/>
            <w:bookmarkStart w:id="289" w:name="OLE_LINK46"/>
            <w:r>
              <w:rPr>
                <w:rFonts w:hint="eastAsia" w:ascii="仿宋" w:hAnsi="仿宋" w:cs="仿宋"/>
                <w:bCs/>
                <w:color w:val="FF0000"/>
                <w:szCs w:val="24"/>
              </w:rPr>
              <w:t>根据供应商提供的省级电力交易中心相关交易记录进行打分</w:t>
            </w:r>
            <w:bookmarkEnd w:id="288"/>
            <w:bookmarkEnd w:id="289"/>
            <w:r>
              <w:rPr>
                <w:rFonts w:hint="eastAsia" w:ascii="仿宋" w:hAnsi="仿宋" w:cs="仿宋"/>
                <w:bCs/>
                <w:color w:val="FF0000"/>
                <w:szCs w:val="24"/>
              </w:rPr>
              <w:t>：</w:t>
            </w:r>
          </w:p>
          <w:p>
            <w:pPr>
              <w:widowControl/>
              <w:spacing w:line="400" w:lineRule="atLeast"/>
              <w:jc w:val="left"/>
              <w:rPr>
                <w:rFonts w:ascii="仿宋" w:hAnsi="仿宋" w:cs="仿宋"/>
                <w:bCs/>
                <w:color w:val="FF0000"/>
                <w:szCs w:val="24"/>
              </w:rPr>
            </w:pPr>
            <w:r>
              <w:rPr>
                <w:rFonts w:hint="eastAsia" w:ascii="仿宋" w:hAnsi="仿宋" w:cs="仿宋"/>
                <w:bCs/>
                <w:color w:val="FF0000"/>
                <w:szCs w:val="24"/>
              </w:rPr>
              <w:t>提供同一用户连续36个月交易记录的，每个用户得3分；</w:t>
            </w:r>
          </w:p>
          <w:p>
            <w:pPr>
              <w:widowControl/>
              <w:spacing w:line="400" w:lineRule="atLeast"/>
              <w:jc w:val="left"/>
              <w:rPr>
                <w:rFonts w:ascii="仿宋" w:hAnsi="仿宋" w:cs="仿宋"/>
                <w:bCs/>
                <w:color w:val="FF0000"/>
                <w:szCs w:val="24"/>
              </w:rPr>
            </w:pPr>
            <w:r>
              <w:rPr>
                <w:rFonts w:hint="eastAsia" w:ascii="仿宋" w:hAnsi="仿宋" w:cs="仿宋"/>
                <w:bCs/>
                <w:color w:val="FF0000"/>
                <w:szCs w:val="24"/>
              </w:rPr>
              <w:t>提供同一用户连续24个月交易记录的，每个用户得2分；</w:t>
            </w:r>
          </w:p>
          <w:p>
            <w:pPr>
              <w:widowControl/>
              <w:spacing w:line="400" w:lineRule="atLeast"/>
              <w:jc w:val="left"/>
              <w:rPr>
                <w:rFonts w:ascii="仿宋" w:hAnsi="仿宋" w:cs="仿宋"/>
                <w:bCs/>
                <w:color w:val="FF0000"/>
                <w:szCs w:val="24"/>
              </w:rPr>
            </w:pPr>
            <w:r>
              <w:rPr>
                <w:rFonts w:hint="eastAsia" w:ascii="仿宋" w:hAnsi="仿宋" w:cs="仿宋"/>
                <w:bCs/>
                <w:color w:val="FF0000"/>
                <w:szCs w:val="24"/>
              </w:rPr>
              <w:t>提供同一用户连续12个月交易记录的，每个用户得1分。</w:t>
            </w:r>
          </w:p>
          <w:p>
            <w:pPr>
              <w:widowControl/>
              <w:spacing w:line="400" w:lineRule="atLeast"/>
              <w:jc w:val="left"/>
              <w:rPr>
                <w:rFonts w:ascii="仿宋" w:hAnsi="仿宋" w:cs="仿宋"/>
                <w:bCs/>
                <w:szCs w:val="24"/>
              </w:rPr>
            </w:pPr>
            <w:r>
              <w:rPr>
                <w:rFonts w:hint="eastAsia" w:ascii="仿宋" w:hAnsi="仿宋" w:cs="仿宋"/>
                <w:bCs/>
                <w:color w:val="FF0000"/>
                <w:szCs w:val="24"/>
              </w:rPr>
              <w:t>(注：同一用户不同时间段的记录不重复计分，按最高时间段计分；累计总分达到10分即得满分。)</w:t>
            </w:r>
          </w:p>
        </w:tc>
      </w:tr>
    </w:tbl>
    <w:p>
      <w:pPr>
        <w:pStyle w:val="2"/>
        <w:tabs>
          <w:tab w:val="center" w:pos="4535"/>
          <w:tab w:val="left" w:pos="8038"/>
        </w:tabs>
        <w:spacing w:line="360" w:lineRule="auto"/>
        <w:jc w:val="left"/>
        <w:rPr>
          <w:rFonts w:ascii="仿宋" w:hAnsi="仿宋" w:cs="仿宋"/>
          <w:sz w:val="24"/>
          <w:szCs w:val="24"/>
        </w:rPr>
      </w:pPr>
      <w:r>
        <w:rPr>
          <w:rFonts w:ascii="仿宋" w:hAnsi="仿宋" w:cs="仿宋"/>
          <w:sz w:val="24"/>
          <w:szCs w:val="24"/>
        </w:rPr>
        <w:tab/>
      </w:r>
      <w:bookmarkEnd w:id="82"/>
      <w:bookmarkEnd w:id="83"/>
      <w:bookmarkEnd w:id="84"/>
      <w:bookmarkEnd w:id="85"/>
      <w:bookmarkEnd w:id="86"/>
      <w:bookmarkEnd w:id="282"/>
      <w:bookmarkStart w:id="290" w:name="_Toc466642543"/>
      <w:bookmarkStart w:id="291" w:name="_Toc482297985"/>
      <w:bookmarkStart w:id="292" w:name="_Toc29105"/>
      <w:bookmarkStart w:id="293" w:name="_Toc19611"/>
    </w:p>
    <w:p>
      <w:pPr>
        <w:pStyle w:val="2"/>
        <w:tabs>
          <w:tab w:val="center" w:pos="4535"/>
          <w:tab w:val="left" w:pos="8038"/>
        </w:tabs>
        <w:spacing w:line="360" w:lineRule="auto"/>
        <w:jc w:val="left"/>
        <w:rPr>
          <w:rFonts w:ascii="仿宋" w:hAnsi="仿宋" w:cs="仿宋"/>
          <w:sz w:val="24"/>
          <w:szCs w:val="24"/>
        </w:rPr>
      </w:pPr>
    </w:p>
    <w:p/>
    <w:p>
      <w:pPr>
        <w:pStyle w:val="2"/>
        <w:tabs>
          <w:tab w:val="center" w:pos="4535"/>
          <w:tab w:val="left" w:pos="8038"/>
        </w:tabs>
        <w:spacing w:line="360" w:lineRule="auto"/>
        <w:rPr>
          <w:rFonts w:ascii="宋体"/>
          <w:b w:val="0"/>
          <w:sz w:val="44"/>
          <w:szCs w:val="44"/>
          <w:u w:val="single"/>
        </w:rPr>
      </w:pPr>
      <w:r>
        <w:rPr>
          <w:rFonts w:hint="eastAsia" w:ascii="黑体" w:hAnsi="黑体" w:eastAsia="黑体" w:cs="黑体"/>
          <w:b w:val="0"/>
          <w:sz w:val="48"/>
          <w:szCs w:val="48"/>
        </w:rPr>
        <w:t>2026年电力交易服务合同</w:t>
      </w:r>
    </w:p>
    <w:p>
      <w:pPr>
        <w:spacing w:before="120"/>
        <w:ind w:right="3"/>
        <w:jc w:val="center"/>
        <w:rPr>
          <w:rFonts w:ascii="黑体" w:eastAsia="黑体"/>
          <w:b/>
          <w:spacing w:val="20"/>
          <w:sz w:val="44"/>
        </w:rPr>
      </w:pPr>
    </w:p>
    <w:p>
      <w:pPr>
        <w:autoSpaceDE w:val="0"/>
        <w:autoSpaceDN w:val="0"/>
        <w:adjustRightInd w:val="0"/>
        <w:spacing w:line="288" w:lineRule="auto"/>
        <w:ind w:left="-15" w:firstLine="1064" w:firstLineChars="380"/>
        <w:jc w:val="left"/>
        <w:textAlignment w:val="center"/>
        <w:rPr>
          <w:rFonts w:ascii="黑体" w:eastAsia="黑体" w:cs="黑体"/>
          <w:kern w:val="0"/>
          <w:sz w:val="28"/>
          <w:szCs w:val="28"/>
          <w:lang w:val="zh-CN"/>
        </w:rPr>
      </w:pPr>
    </w:p>
    <w:p>
      <w:pPr>
        <w:autoSpaceDE w:val="0"/>
        <w:autoSpaceDN w:val="0"/>
        <w:adjustRightInd w:val="0"/>
        <w:spacing w:line="288" w:lineRule="auto"/>
        <w:ind w:left="-15" w:firstLine="1064" w:firstLineChars="380"/>
        <w:jc w:val="left"/>
        <w:textAlignment w:val="center"/>
        <w:rPr>
          <w:rFonts w:ascii="黑体" w:eastAsia="黑体" w:cs="黑体"/>
          <w:kern w:val="0"/>
          <w:sz w:val="28"/>
          <w:szCs w:val="28"/>
          <w:lang w:val="zh-CN"/>
        </w:rPr>
      </w:pPr>
    </w:p>
    <w:p>
      <w:pPr>
        <w:autoSpaceDE w:val="0"/>
        <w:autoSpaceDN w:val="0"/>
        <w:adjustRightInd w:val="0"/>
        <w:spacing w:line="288" w:lineRule="auto"/>
        <w:ind w:left="-15" w:firstLine="1064" w:firstLineChars="380"/>
        <w:jc w:val="left"/>
        <w:textAlignment w:val="center"/>
        <w:rPr>
          <w:rFonts w:ascii="黑体" w:eastAsia="黑体" w:cs="黑体"/>
          <w:kern w:val="0"/>
          <w:sz w:val="28"/>
          <w:szCs w:val="28"/>
          <w:lang w:val="zh-CN"/>
        </w:rPr>
      </w:pPr>
    </w:p>
    <w:p>
      <w:pPr>
        <w:autoSpaceDE w:val="0"/>
        <w:autoSpaceDN w:val="0"/>
        <w:adjustRightInd w:val="0"/>
        <w:spacing w:line="288" w:lineRule="auto"/>
        <w:ind w:firstLine="1546" w:firstLineChars="550"/>
        <w:textAlignment w:val="center"/>
        <w:rPr>
          <w:rFonts w:ascii="黑体" w:hAnsi="黑体" w:eastAsia="黑体" w:cs="黑体"/>
          <w:b/>
          <w:sz w:val="28"/>
          <w:szCs w:val="28"/>
        </w:rPr>
      </w:pPr>
      <w:r>
        <w:rPr>
          <w:rFonts w:hint="eastAsia" w:ascii="黑体" w:hAnsi="黑体" w:eastAsia="黑体" w:cs="黑体"/>
          <w:b/>
          <w:sz w:val="28"/>
          <w:szCs w:val="28"/>
        </w:rPr>
        <w:t>甲 方（购电方）：</w:t>
      </w:r>
    </w:p>
    <w:p>
      <w:pPr>
        <w:autoSpaceDE w:val="0"/>
        <w:autoSpaceDN w:val="0"/>
        <w:adjustRightInd w:val="0"/>
        <w:spacing w:line="288" w:lineRule="auto"/>
        <w:ind w:firstLine="1546" w:firstLineChars="550"/>
        <w:textAlignment w:val="center"/>
        <w:rPr>
          <w:rFonts w:ascii="黑体" w:eastAsia="黑体" w:cs="黑体"/>
          <w:kern w:val="0"/>
          <w:sz w:val="28"/>
          <w:szCs w:val="28"/>
        </w:rPr>
      </w:pPr>
      <w:r>
        <w:rPr>
          <w:rFonts w:hint="eastAsia" w:ascii="黑体" w:hAnsi="黑体" w:eastAsia="黑体" w:cs="黑体"/>
          <w:b/>
          <w:sz w:val="28"/>
          <w:szCs w:val="28"/>
        </w:rPr>
        <w:t>乙 方（售电方）：</w:t>
      </w:r>
    </w:p>
    <w:p>
      <w:pPr>
        <w:autoSpaceDE w:val="0"/>
        <w:autoSpaceDN w:val="0"/>
        <w:adjustRightInd w:val="0"/>
        <w:spacing w:line="288" w:lineRule="auto"/>
        <w:ind w:left="-15" w:firstLine="1064" w:firstLineChars="380"/>
        <w:jc w:val="left"/>
        <w:textAlignment w:val="center"/>
        <w:rPr>
          <w:rFonts w:ascii="黑体" w:eastAsia="黑体" w:cs="黑体"/>
          <w:kern w:val="0"/>
          <w:sz w:val="28"/>
          <w:szCs w:val="28"/>
        </w:rPr>
      </w:pPr>
    </w:p>
    <w:p>
      <w:pPr>
        <w:autoSpaceDE w:val="0"/>
        <w:autoSpaceDN w:val="0"/>
        <w:adjustRightInd w:val="0"/>
        <w:spacing w:line="288" w:lineRule="auto"/>
        <w:ind w:left="-15" w:firstLine="1064" w:firstLineChars="380"/>
        <w:jc w:val="left"/>
        <w:textAlignment w:val="center"/>
        <w:rPr>
          <w:rFonts w:ascii="黑体" w:eastAsia="黑体" w:cs="黑体"/>
          <w:kern w:val="0"/>
          <w:sz w:val="28"/>
          <w:szCs w:val="28"/>
        </w:rPr>
      </w:pPr>
    </w:p>
    <w:p>
      <w:pPr>
        <w:autoSpaceDE w:val="0"/>
        <w:autoSpaceDN w:val="0"/>
        <w:adjustRightInd w:val="0"/>
        <w:spacing w:line="288" w:lineRule="auto"/>
        <w:ind w:hanging="1"/>
        <w:jc w:val="center"/>
        <w:textAlignment w:val="center"/>
        <w:rPr>
          <w:rFonts w:ascii="黑体" w:eastAsia="黑体" w:cs="黑体"/>
          <w:kern w:val="0"/>
          <w:sz w:val="28"/>
          <w:szCs w:val="28"/>
        </w:rPr>
      </w:pPr>
    </w:p>
    <w:p>
      <w:pPr>
        <w:autoSpaceDE w:val="0"/>
        <w:autoSpaceDN w:val="0"/>
        <w:adjustRightInd w:val="0"/>
        <w:spacing w:line="288" w:lineRule="auto"/>
        <w:ind w:hanging="1"/>
        <w:jc w:val="center"/>
        <w:textAlignment w:val="center"/>
        <w:rPr>
          <w:rFonts w:ascii="黑体" w:eastAsia="黑体" w:cs="黑体"/>
          <w:kern w:val="0"/>
          <w:sz w:val="28"/>
          <w:szCs w:val="28"/>
        </w:rPr>
      </w:pPr>
    </w:p>
    <w:p>
      <w:pPr>
        <w:autoSpaceDE w:val="0"/>
        <w:autoSpaceDN w:val="0"/>
        <w:adjustRightInd w:val="0"/>
        <w:spacing w:line="360" w:lineRule="auto"/>
        <w:ind w:hanging="1"/>
        <w:jc w:val="center"/>
        <w:textAlignment w:val="center"/>
        <w:rPr>
          <w:rFonts w:ascii="黑体" w:eastAsia="黑体" w:cs="黑体"/>
          <w:kern w:val="0"/>
          <w:lang w:val="zh-CN"/>
        </w:rPr>
      </w:pPr>
      <w:r>
        <w:rPr>
          <w:rFonts w:hint="eastAsia" w:ascii="黑体" w:eastAsia="黑体" w:cs="黑体"/>
          <w:kern w:val="0"/>
          <w:szCs w:val="24"/>
          <w:lang w:val="zh-CN"/>
        </w:rPr>
        <w:t>合同签订地：云南省安宁市</w:t>
      </w:r>
    </w:p>
    <w:p>
      <w:pPr>
        <w:autoSpaceDE w:val="0"/>
        <w:autoSpaceDN w:val="0"/>
        <w:adjustRightInd w:val="0"/>
        <w:spacing w:line="360" w:lineRule="auto"/>
        <w:ind w:firstLine="3120" w:firstLineChars="1300"/>
        <w:textAlignment w:val="center"/>
        <w:rPr>
          <w:rFonts w:ascii="黑体" w:eastAsia="黑体" w:cs="黑体"/>
          <w:kern w:val="0"/>
          <w:sz w:val="28"/>
          <w:szCs w:val="28"/>
          <w:lang w:val="zh-CN"/>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992" w:gutter="0"/>
          <w:pgNumType w:fmt="numberInDash" w:start="1"/>
          <w:cols w:space="720" w:num="1"/>
          <w:titlePg/>
          <w:docGrid w:type="lines" w:linePitch="312" w:charSpace="0"/>
        </w:sectPr>
      </w:pPr>
      <w:r>
        <w:rPr>
          <w:rFonts w:hint="eastAsia" w:ascii="黑体" w:eastAsia="黑体" w:cs="黑体"/>
          <w:kern w:val="0"/>
          <w:szCs w:val="24"/>
          <w:lang w:val="zh-CN"/>
        </w:rPr>
        <w:t>日期：</w:t>
      </w:r>
      <w:r>
        <w:rPr>
          <w:rFonts w:hint="eastAsia" w:ascii="黑体" w:eastAsia="黑体" w:cs="黑体"/>
          <w:kern w:val="0"/>
          <w:szCs w:val="24"/>
        </w:rPr>
        <w:t xml:space="preserve"> 202  </w:t>
      </w:r>
      <w:r>
        <w:rPr>
          <w:rFonts w:hint="eastAsia" w:ascii="黑体" w:eastAsia="黑体" w:cs="黑体"/>
          <w:kern w:val="0"/>
          <w:szCs w:val="24"/>
          <w:lang w:val="zh-CN"/>
        </w:rPr>
        <w:t xml:space="preserve">年  月 </w:t>
      </w:r>
    </w:p>
    <w:p>
      <w:pPr>
        <w:pStyle w:val="14"/>
        <w:adjustRightInd w:val="0"/>
        <w:snapToGrid w:val="0"/>
        <w:spacing w:before="0" w:after="0" w:line="480" w:lineRule="exact"/>
        <w:jc w:val="both"/>
        <w:outlineLvl w:val="9"/>
        <w:rPr>
          <w:rFonts w:ascii="仿宋" w:hAnsi="仿宋" w:eastAsia="仿宋" w:cs="黑体"/>
          <w:sz w:val="24"/>
          <w:szCs w:val="24"/>
        </w:rPr>
      </w:pPr>
      <w:bookmarkStart w:id="294" w:name="_Toc25766044"/>
      <w:bookmarkStart w:id="295" w:name="_Toc462479619"/>
      <w:bookmarkStart w:id="296" w:name="OLE_LINK72"/>
      <w:bookmarkStart w:id="297" w:name="OLE_LINK71"/>
      <w:bookmarkStart w:id="298" w:name="OLE_LINK69"/>
      <w:bookmarkStart w:id="299" w:name="OLE_LINK70"/>
      <w:r>
        <w:rPr>
          <w:rFonts w:hint="eastAsia" w:ascii="仿宋" w:hAnsi="仿宋" w:eastAsia="仿宋" w:cs="黑体"/>
          <w:sz w:val="24"/>
          <w:szCs w:val="24"/>
        </w:rPr>
        <w:t>第一条  甲方用电基本信息</w:t>
      </w:r>
      <w:bookmarkEnd w:id="294"/>
    </w:p>
    <w:tbl>
      <w:tblPr>
        <w:tblStyle w:val="16"/>
        <w:tblW w:w="95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7"/>
        <w:gridCol w:w="3209"/>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jc w:val="center"/>
        </w:trPr>
        <w:tc>
          <w:tcPr>
            <w:tcW w:w="3207" w:type="dxa"/>
          </w:tcPr>
          <w:p>
            <w:pPr>
              <w:adjustRightInd w:val="0"/>
              <w:snapToGrid w:val="0"/>
              <w:spacing w:line="480" w:lineRule="exact"/>
              <w:jc w:val="center"/>
              <w:rPr>
                <w:rFonts w:ascii="仿宋" w:hAnsi="仿宋" w:cs="仿宋_GB2312"/>
                <w:szCs w:val="24"/>
              </w:rPr>
            </w:pPr>
            <w:r>
              <w:rPr>
                <w:rFonts w:hint="eastAsia" w:ascii="仿宋" w:hAnsi="仿宋" w:cs="仿宋_GB2312"/>
                <w:szCs w:val="24"/>
              </w:rPr>
              <w:t>电压等级</w:t>
            </w:r>
          </w:p>
        </w:tc>
        <w:tc>
          <w:tcPr>
            <w:tcW w:w="3209" w:type="dxa"/>
          </w:tcPr>
          <w:p>
            <w:pPr>
              <w:adjustRightInd w:val="0"/>
              <w:snapToGrid w:val="0"/>
              <w:spacing w:line="480" w:lineRule="exact"/>
              <w:jc w:val="center"/>
              <w:rPr>
                <w:rFonts w:ascii="仿宋" w:hAnsi="仿宋" w:cs="仿宋_GB2312"/>
                <w:szCs w:val="24"/>
              </w:rPr>
            </w:pPr>
            <w:r>
              <w:rPr>
                <w:rFonts w:hint="eastAsia" w:ascii="仿宋" w:hAnsi="仿宋" w:cs="仿宋_GB2312"/>
                <w:szCs w:val="24"/>
              </w:rPr>
              <w:t>用电户号</w:t>
            </w:r>
          </w:p>
        </w:tc>
        <w:tc>
          <w:tcPr>
            <w:tcW w:w="3114" w:type="dxa"/>
          </w:tcPr>
          <w:p>
            <w:pPr>
              <w:adjustRightInd w:val="0"/>
              <w:snapToGrid w:val="0"/>
              <w:spacing w:line="480" w:lineRule="exact"/>
              <w:jc w:val="center"/>
              <w:rPr>
                <w:rFonts w:ascii="仿宋" w:hAnsi="仿宋" w:cs="仿宋_GB2312"/>
                <w:szCs w:val="24"/>
              </w:rPr>
            </w:pPr>
            <w:r>
              <w:rPr>
                <w:rFonts w:hint="eastAsia" w:ascii="仿宋" w:hAnsi="仿宋" w:cs="仿宋_GB2312"/>
                <w:szCs w:val="24"/>
              </w:rPr>
              <w:t>用电性质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07" w:type="dxa"/>
          </w:tcPr>
          <w:p>
            <w:pPr>
              <w:adjustRightInd w:val="0"/>
              <w:snapToGrid w:val="0"/>
              <w:spacing w:line="480" w:lineRule="exact"/>
              <w:jc w:val="center"/>
              <w:rPr>
                <w:rFonts w:ascii="仿宋" w:hAnsi="仿宋" w:cs="仿宋_GB2312"/>
                <w:szCs w:val="24"/>
              </w:rPr>
            </w:pPr>
            <w:r>
              <w:rPr>
                <w:rFonts w:hint="eastAsia" w:ascii="仿宋" w:hAnsi="仿宋" w:cs="仿宋_GB2312"/>
                <w:szCs w:val="24"/>
              </w:rPr>
              <w:t xml:space="preserve">     千伏</w:t>
            </w:r>
          </w:p>
        </w:tc>
        <w:tc>
          <w:tcPr>
            <w:tcW w:w="3209" w:type="dxa"/>
            <w:vAlign w:val="center"/>
          </w:tcPr>
          <w:p>
            <w:pPr>
              <w:adjustRightInd w:val="0"/>
              <w:snapToGrid w:val="0"/>
              <w:spacing w:line="480" w:lineRule="exact"/>
              <w:jc w:val="center"/>
              <w:rPr>
                <w:rFonts w:ascii="仿宋" w:hAnsi="仿宋" w:cs="仿宋_GB2312"/>
                <w:szCs w:val="24"/>
              </w:rPr>
            </w:pPr>
          </w:p>
        </w:tc>
        <w:tc>
          <w:tcPr>
            <w:tcW w:w="3114" w:type="dxa"/>
          </w:tcPr>
          <w:p>
            <w:pPr>
              <w:adjustRightInd w:val="0"/>
              <w:snapToGrid w:val="0"/>
              <w:spacing w:line="480" w:lineRule="exact"/>
              <w:jc w:val="center"/>
              <w:rPr>
                <w:rFonts w:ascii="仿宋" w:hAnsi="仿宋" w:cs="仿宋_GB2312"/>
                <w:szCs w:val="24"/>
              </w:rPr>
            </w:pPr>
          </w:p>
        </w:tc>
      </w:tr>
    </w:tbl>
    <w:p>
      <w:pPr>
        <w:pStyle w:val="14"/>
        <w:tabs>
          <w:tab w:val="center" w:pos="4153"/>
        </w:tabs>
        <w:snapToGrid w:val="0"/>
        <w:spacing w:before="0" w:after="0" w:line="480" w:lineRule="exact"/>
        <w:ind w:firstLine="482" w:firstLineChars="200"/>
        <w:jc w:val="left"/>
        <w:rPr>
          <w:rFonts w:ascii="仿宋" w:hAnsi="仿宋" w:eastAsia="仿宋" w:cs="黑体"/>
          <w:sz w:val="24"/>
          <w:szCs w:val="24"/>
        </w:rPr>
      </w:pPr>
      <w:bookmarkStart w:id="300" w:name="_Toc14094333"/>
      <w:bookmarkStart w:id="301" w:name="_Toc13735797"/>
      <w:r>
        <w:rPr>
          <w:rFonts w:hint="eastAsia" w:ascii="仿宋" w:hAnsi="仿宋" w:eastAsia="仿宋" w:cs="黑体"/>
          <w:sz w:val="24"/>
          <w:szCs w:val="24"/>
        </w:rPr>
        <w:t>第二条   电力交易服务内容</w:t>
      </w:r>
      <w:bookmarkEnd w:id="295"/>
      <w:bookmarkEnd w:id="300"/>
      <w:bookmarkEnd w:id="301"/>
      <w:r>
        <w:rPr>
          <w:rFonts w:hint="eastAsia" w:ascii="仿宋" w:hAnsi="仿宋" w:eastAsia="仿宋" w:cs="黑体"/>
          <w:sz w:val="24"/>
          <w:szCs w:val="24"/>
        </w:rPr>
        <w:tab/>
      </w:r>
    </w:p>
    <w:p>
      <w:pPr>
        <w:adjustRightInd w:val="0"/>
        <w:snapToGrid w:val="0"/>
        <w:spacing w:line="480" w:lineRule="exact"/>
        <w:ind w:firstLine="480" w:firstLineChars="200"/>
        <w:rPr>
          <w:rFonts w:ascii="仿宋" w:hAnsi="仿宋" w:cs="仿宋_GB2312"/>
          <w:szCs w:val="24"/>
        </w:rPr>
      </w:pPr>
      <w:bookmarkStart w:id="302" w:name="_Toc462479620"/>
      <w:r>
        <w:rPr>
          <w:rFonts w:hint="eastAsia" w:ascii="仿宋" w:hAnsi="仿宋" w:cs="仿宋_GB2312"/>
          <w:szCs w:val="24"/>
        </w:rPr>
        <w:t>根据《中华人民共和国民法典》等相关法律、法规和《云南电力市场运营规则》及现行有效的云南电力市场化年度交易实施方案</w:t>
      </w:r>
      <w:r>
        <w:rPr>
          <w:rFonts w:ascii="仿宋" w:hAnsi="仿宋" w:cs="仿宋_GB2312"/>
          <w:szCs w:val="24"/>
        </w:rPr>
        <w:t>，</w:t>
      </w:r>
      <w:r>
        <w:rPr>
          <w:rFonts w:hint="eastAsia" w:ascii="仿宋" w:hAnsi="仿宋" w:cs="仿宋_GB2312"/>
          <w:szCs w:val="24"/>
        </w:rPr>
        <w:t>乙方本着为甲方有效降低用电成本，提供优质高效的电力服务。现经甲、乙双方协商一致，甲方委托乙方为其代理完成2026年-2027年云南电力市场化交易相关工作，代理期间乙方须按照本合同约定电量、电价为甲方在昆明电力交易中心系统内进行电力交易，同时向甲方提供用电分析等</w:t>
      </w:r>
      <w:r>
        <w:rPr>
          <w:rFonts w:ascii="仿宋" w:hAnsi="仿宋" w:cs="仿宋_GB2312"/>
          <w:szCs w:val="24"/>
        </w:rPr>
        <w:t>相关</w:t>
      </w:r>
      <w:r>
        <w:rPr>
          <w:rFonts w:hint="eastAsia" w:ascii="仿宋" w:hAnsi="仿宋" w:cs="仿宋_GB2312"/>
          <w:szCs w:val="24"/>
        </w:rPr>
        <w:t>服务。</w:t>
      </w:r>
    </w:p>
    <w:p>
      <w:pPr>
        <w:adjustRightInd w:val="0"/>
        <w:snapToGrid w:val="0"/>
        <w:spacing w:line="480" w:lineRule="exact"/>
        <w:ind w:firstLine="480" w:firstLineChars="200"/>
        <w:rPr>
          <w:rFonts w:ascii="仿宋" w:hAnsi="仿宋" w:cs="仿宋_GB2312"/>
          <w:szCs w:val="24"/>
        </w:rPr>
      </w:pPr>
      <w:r>
        <w:rPr>
          <w:rFonts w:hint="eastAsia" w:ascii="仿宋" w:hAnsi="仿宋" w:cs="仿宋_GB2312"/>
          <w:szCs w:val="24"/>
        </w:rPr>
        <w:t>项目名称：</w:t>
      </w:r>
      <w:r>
        <w:rPr>
          <w:rFonts w:hint="eastAsia" w:ascii="仿宋" w:hAnsi="仿宋" w:cs="仿宋_GB2312"/>
          <w:szCs w:val="24"/>
          <w:u w:val="single"/>
        </w:rPr>
        <w:t xml:space="preserve">                                                   </w:t>
      </w:r>
      <w:r>
        <w:rPr>
          <w:rFonts w:hint="eastAsia" w:ascii="仿宋" w:hAnsi="仿宋" w:cs="仿宋_GB2312"/>
          <w:szCs w:val="24"/>
        </w:rPr>
        <w:t>。</w:t>
      </w:r>
    </w:p>
    <w:p>
      <w:pPr>
        <w:adjustRightInd w:val="0"/>
        <w:snapToGrid w:val="0"/>
        <w:spacing w:line="480" w:lineRule="exact"/>
        <w:ind w:firstLine="482" w:firstLineChars="200"/>
        <w:rPr>
          <w:rFonts w:ascii="仿宋" w:hAnsi="仿宋" w:cs="黑体"/>
          <w:b/>
          <w:bCs/>
          <w:szCs w:val="24"/>
        </w:rPr>
      </w:pPr>
      <w:bookmarkStart w:id="303" w:name="_Toc14094334"/>
      <w:r>
        <w:rPr>
          <w:rFonts w:hint="eastAsia" w:ascii="仿宋" w:hAnsi="仿宋" w:cs="黑体"/>
          <w:b/>
          <w:bCs/>
          <w:szCs w:val="24"/>
        </w:rPr>
        <w:t xml:space="preserve">第三条  </w:t>
      </w:r>
      <w:bookmarkEnd w:id="302"/>
      <w:r>
        <w:rPr>
          <w:rFonts w:hint="eastAsia" w:ascii="仿宋" w:hAnsi="仿宋" w:cs="黑体"/>
          <w:b/>
          <w:bCs/>
          <w:szCs w:val="24"/>
        </w:rPr>
        <w:t xml:space="preserve"> 服务期限</w:t>
      </w:r>
      <w:bookmarkEnd w:id="303"/>
    </w:p>
    <w:p>
      <w:pPr>
        <w:adjustRightInd w:val="0"/>
        <w:snapToGrid w:val="0"/>
        <w:spacing w:line="480" w:lineRule="exact"/>
        <w:ind w:firstLine="480" w:firstLineChars="200"/>
        <w:rPr>
          <w:rFonts w:ascii="仿宋" w:hAnsi="仿宋" w:cs="仿宋_GB2312"/>
          <w:szCs w:val="24"/>
        </w:rPr>
      </w:pPr>
      <w:r>
        <w:rPr>
          <w:rFonts w:hint="eastAsia" w:ascii="仿宋" w:hAnsi="仿宋" w:cs="仿宋_GB2312"/>
          <w:szCs w:val="24"/>
        </w:rPr>
        <w:t>乙方向甲方提供本合同第二条约定的服务期限为：</w:t>
      </w:r>
      <w:r>
        <w:rPr>
          <w:rFonts w:hint="eastAsia" w:ascii="仿宋" w:hAnsi="仿宋" w:cs="仿宋_GB2312"/>
          <w:szCs w:val="24"/>
          <w:u w:val="single"/>
        </w:rPr>
        <w:t>2026</w:t>
      </w:r>
      <w:r>
        <w:rPr>
          <w:rFonts w:hint="eastAsia" w:ascii="仿宋" w:hAnsi="仿宋" w:cs="仿宋_GB2312"/>
          <w:szCs w:val="24"/>
        </w:rPr>
        <w:t>年</w:t>
      </w:r>
      <w:r>
        <w:rPr>
          <w:rFonts w:hint="eastAsia" w:ascii="仿宋" w:hAnsi="仿宋" w:cs="仿宋_GB2312"/>
          <w:szCs w:val="24"/>
          <w:u w:val="single"/>
        </w:rPr>
        <w:t>9</w:t>
      </w:r>
      <w:r>
        <w:rPr>
          <w:rFonts w:hint="eastAsia" w:ascii="仿宋" w:hAnsi="仿宋" w:cs="仿宋_GB2312"/>
          <w:szCs w:val="24"/>
        </w:rPr>
        <w:t>月</w:t>
      </w:r>
      <w:r>
        <w:rPr>
          <w:rFonts w:hint="eastAsia" w:ascii="仿宋" w:hAnsi="仿宋" w:cs="仿宋_GB2312"/>
          <w:szCs w:val="24"/>
          <w:u w:val="single"/>
        </w:rPr>
        <w:t xml:space="preserve"> 1 </w:t>
      </w:r>
      <w:r>
        <w:rPr>
          <w:rFonts w:hint="eastAsia" w:ascii="仿宋" w:hAnsi="仿宋" w:cs="仿宋_GB2312"/>
          <w:szCs w:val="24"/>
        </w:rPr>
        <w:t>日至</w:t>
      </w:r>
      <w:r>
        <w:rPr>
          <w:rFonts w:hint="eastAsia" w:ascii="仿宋" w:hAnsi="仿宋" w:cs="仿宋_GB2312"/>
          <w:szCs w:val="24"/>
          <w:u w:val="single"/>
        </w:rPr>
        <w:t xml:space="preserve"> 2027</w:t>
      </w:r>
      <w:r>
        <w:rPr>
          <w:rFonts w:hint="eastAsia" w:ascii="仿宋" w:hAnsi="仿宋" w:cs="仿宋_GB2312"/>
          <w:szCs w:val="24"/>
        </w:rPr>
        <w:t>年</w:t>
      </w:r>
      <w:r>
        <w:rPr>
          <w:rFonts w:hint="eastAsia" w:ascii="仿宋" w:hAnsi="仿宋" w:cs="仿宋_GB2312"/>
          <w:szCs w:val="24"/>
          <w:u w:val="single"/>
        </w:rPr>
        <w:t>12</w:t>
      </w:r>
      <w:r>
        <w:rPr>
          <w:rFonts w:hint="eastAsia" w:ascii="仿宋" w:hAnsi="仿宋" w:cs="仿宋_GB2312"/>
          <w:szCs w:val="24"/>
        </w:rPr>
        <w:t>月</w:t>
      </w:r>
      <w:r>
        <w:rPr>
          <w:rFonts w:hint="eastAsia" w:ascii="仿宋" w:hAnsi="仿宋" w:cs="仿宋_GB2312"/>
          <w:szCs w:val="24"/>
          <w:u w:val="single"/>
        </w:rPr>
        <w:t>31</w:t>
      </w:r>
      <w:r>
        <w:rPr>
          <w:rFonts w:hint="eastAsia" w:ascii="仿宋" w:hAnsi="仿宋" w:cs="仿宋_GB2312"/>
          <w:szCs w:val="24"/>
        </w:rPr>
        <w:t>日，</w:t>
      </w:r>
      <w:r>
        <w:rPr>
          <w:rFonts w:hint="eastAsia" w:ascii="仿宋" w:hAnsi="仿宋" w:cs="仿宋_GB2312"/>
          <w:szCs w:val="24"/>
          <w:lang w:val="zh-CN"/>
        </w:rPr>
        <w:t>有效期满，双方可依据本合同原则协商续签或依据实际情况另行签订。</w:t>
      </w:r>
    </w:p>
    <w:p>
      <w:pPr>
        <w:pStyle w:val="14"/>
        <w:snapToGrid w:val="0"/>
        <w:spacing w:before="0" w:after="0" w:line="480" w:lineRule="exact"/>
        <w:ind w:firstLine="482" w:firstLineChars="200"/>
        <w:jc w:val="left"/>
        <w:rPr>
          <w:rFonts w:ascii="仿宋" w:hAnsi="仿宋" w:eastAsia="仿宋" w:cs="黑体"/>
          <w:sz w:val="24"/>
          <w:szCs w:val="24"/>
        </w:rPr>
      </w:pPr>
      <w:bookmarkStart w:id="304" w:name="_Toc14094335"/>
      <w:bookmarkStart w:id="305" w:name="_Toc13735798"/>
      <w:r>
        <w:rPr>
          <w:rFonts w:hint="eastAsia" w:ascii="仿宋" w:hAnsi="仿宋" w:eastAsia="仿宋" w:cs="黑体"/>
          <w:sz w:val="24"/>
          <w:szCs w:val="24"/>
        </w:rPr>
        <w:t>第四条   甲、乙双方的权利与义务</w:t>
      </w:r>
      <w:bookmarkEnd w:id="304"/>
      <w:bookmarkEnd w:id="305"/>
    </w:p>
    <w:p>
      <w:pPr>
        <w:snapToGrid w:val="0"/>
        <w:spacing w:line="480" w:lineRule="exact"/>
        <w:ind w:firstLine="480" w:firstLineChars="200"/>
        <w:rPr>
          <w:rFonts w:ascii="仿宋" w:hAnsi="仿宋" w:cs="仿宋_GB2312"/>
          <w:szCs w:val="24"/>
        </w:rPr>
      </w:pPr>
      <w:r>
        <w:rPr>
          <w:rFonts w:hint="eastAsia" w:ascii="仿宋" w:hAnsi="仿宋" w:cs="仿宋_GB2312"/>
          <w:szCs w:val="24"/>
        </w:rPr>
        <w:t>一、甲方的权利与义务</w:t>
      </w:r>
    </w:p>
    <w:p>
      <w:pPr>
        <w:snapToGrid w:val="0"/>
        <w:spacing w:line="480" w:lineRule="exact"/>
        <w:ind w:firstLine="480" w:firstLineChars="200"/>
        <w:rPr>
          <w:rFonts w:ascii="仿宋" w:hAnsi="仿宋" w:cs="仿宋_GB2312"/>
          <w:szCs w:val="24"/>
        </w:rPr>
      </w:pPr>
      <w:r>
        <w:rPr>
          <w:rFonts w:hint="eastAsia" w:ascii="仿宋" w:hAnsi="仿宋" w:cs="仿宋_GB2312"/>
          <w:szCs w:val="24"/>
        </w:rPr>
        <w:t>1.甲方有权向乙方询问工作进展情况及相关内容，有权阐述对具体问题的意见和建议。</w:t>
      </w:r>
    </w:p>
    <w:p>
      <w:pPr>
        <w:snapToGrid w:val="0"/>
        <w:spacing w:line="480" w:lineRule="exact"/>
        <w:ind w:firstLine="480" w:firstLineChars="200"/>
        <w:rPr>
          <w:rFonts w:ascii="仿宋" w:hAnsi="仿宋" w:cs="仿宋_GB2312"/>
          <w:szCs w:val="24"/>
        </w:rPr>
      </w:pPr>
      <w:r>
        <w:rPr>
          <w:rFonts w:hint="eastAsia" w:ascii="仿宋" w:hAnsi="仿宋" w:cs="仿宋_GB2312"/>
          <w:szCs w:val="24"/>
        </w:rPr>
        <w:t>2.配合乙方工作提供相关资料，并对所提供的资料的真实性、准确性、完整性、有效性负责。同时配合乙方办理客户参与电力市场化交易的相关手续。</w:t>
      </w:r>
    </w:p>
    <w:p>
      <w:pPr>
        <w:snapToGrid w:val="0"/>
        <w:spacing w:line="480" w:lineRule="exact"/>
        <w:ind w:firstLine="480" w:firstLineChars="200"/>
        <w:rPr>
          <w:rFonts w:ascii="仿宋" w:hAnsi="仿宋" w:cs="仿宋_GB2312"/>
          <w:szCs w:val="24"/>
        </w:rPr>
      </w:pPr>
      <w:r>
        <w:rPr>
          <w:rFonts w:hint="eastAsia" w:ascii="仿宋" w:hAnsi="仿宋" w:cs="仿宋_GB2312"/>
          <w:szCs w:val="24"/>
        </w:rPr>
        <w:t>3.甲方需在每月</w:t>
      </w:r>
      <w:r>
        <w:rPr>
          <w:rFonts w:hint="eastAsia" w:ascii="仿宋" w:hAnsi="仿宋" w:cs="仿宋_GB2312"/>
          <w:szCs w:val="24"/>
          <w:u w:val="single"/>
        </w:rPr>
        <w:t xml:space="preserve">  15  </w:t>
      </w:r>
      <w:r>
        <w:rPr>
          <w:rFonts w:hint="eastAsia" w:ascii="仿宋" w:hAnsi="仿宋" w:cs="仿宋_GB2312"/>
          <w:szCs w:val="24"/>
        </w:rPr>
        <w:t>日前通过即时通讯软件（QQ、微信、彩信）等方式向乙方提供本合同内所有交易用电户号的次月申报电量。由乙方根据甲方提供的申报电量在昆明电力交易中心平台进行电力市场化交易，若甲方未按时申报，乙方将按合同签订电量进行申报，所引发的后果由甲方自行承担。</w:t>
      </w:r>
    </w:p>
    <w:p>
      <w:pPr>
        <w:snapToGrid w:val="0"/>
        <w:spacing w:line="480" w:lineRule="exact"/>
        <w:ind w:firstLine="480" w:firstLineChars="200"/>
        <w:rPr>
          <w:rFonts w:ascii="仿宋" w:hAnsi="仿宋" w:cs="仿宋_GB2312"/>
          <w:szCs w:val="24"/>
        </w:rPr>
      </w:pPr>
      <w:r>
        <w:rPr>
          <w:rFonts w:hint="eastAsia" w:ascii="仿宋" w:hAnsi="仿宋" w:cs="仿宋_GB2312"/>
          <w:szCs w:val="24"/>
        </w:rPr>
        <w:t>4.若甲方发生营业执照相关信息、户名、企业管理员等变更时，应及时联系乙方并提供相关材料供乙方在交易系统中完成变更手续，否则由此带来的损失，由甲方自行承担。</w:t>
      </w:r>
    </w:p>
    <w:p>
      <w:pPr>
        <w:snapToGrid w:val="0"/>
        <w:spacing w:line="480" w:lineRule="exact"/>
        <w:ind w:firstLine="480" w:firstLineChars="200"/>
        <w:rPr>
          <w:rFonts w:ascii="仿宋" w:hAnsi="仿宋" w:cs="仿宋_GB2312"/>
          <w:szCs w:val="24"/>
        </w:rPr>
      </w:pPr>
      <w:r>
        <w:rPr>
          <w:rFonts w:hint="eastAsia" w:ascii="仿宋" w:hAnsi="仿宋" w:cs="仿宋_GB2312"/>
          <w:szCs w:val="24"/>
        </w:rPr>
        <w:t>5.对乙方提供的电力交易服务建议或文件有审议、修改及最终决策的权利。</w:t>
      </w:r>
    </w:p>
    <w:p>
      <w:pPr>
        <w:snapToGrid w:val="0"/>
        <w:spacing w:line="480" w:lineRule="exact"/>
        <w:ind w:firstLine="480" w:firstLineChars="200"/>
        <w:rPr>
          <w:rFonts w:ascii="仿宋" w:hAnsi="仿宋" w:cs="仿宋_GB2312"/>
          <w:szCs w:val="24"/>
        </w:rPr>
      </w:pPr>
      <w:bookmarkStart w:id="306" w:name="_Hlk24549052"/>
      <w:r>
        <w:rPr>
          <w:rFonts w:hint="eastAsia" w:ascii="仿宋" w:hAnsi="仿宋" w:cs="仿宋_GB2312"/>
          <w:szCs w:val="24"/>
        </w:rPr>
        <w:t>6.指派专人为工作联络员，及时与乙方联系沟通，确保工作顺利进行。</w:t>
      </w:r>
    </w:p>
    <w:p>
      <w:pPr>
        <w:snapToGrid w:val="0"/>
        <w:spacing w:line="480" w:lineRule="exact"/>
        <w:ind w:firstLine="480" w:firstLineChars="200"/>
        <w:rPr>
          <w:rFonts w:ascii="仿宋" w:hAnsi="仿宋" w:cs="仿宋_GB2312"/>
          <w:szCs w:val="24"/>
        </w:rPr>
      </w:pPr>
      <w:r>
        <w:rPr>
          <w:rFonts w:hint="eastAsia" w:ascii="仿宋" w:hAnsi="仿宋" w:cs="仿宋_GB2312"/>
          <w:szCs w:val="24"/>
        </w:rPr>
        <w:t>7.对乙方提供的资料进行保密，用完后如数归还乙方。</w:t>
      </w:r>
    </w:p>
    <w:bookmarkEnd w:id="306"/>
    <w:p>
      <w:pPr>
        <w:snapToGrid w:val="0"/>
        <w:spacing w:line="480" w:lineRule="exact"/>
        <w:ind w:firstLine="480" w:firstLineChars="200"/>
        <w:rPr>
          <w:rFonts w:ascii="仿宋" w:hAnsi="仿宋" w:cs="仿宋_GB2312"/>
          <w:szCs w:val="24"/>
        </w:rPr>
      </w:pPr>
      <w:r>
        <w:rPr>
          <w:rFonts w:hint="eastAsia" w:ascii="仿宋" w:hAnsi="仿宋" w:cs="仿宋_GB2312"/>
          <w:szCs w:val="24"/>
        </w:rPr>
        <w:t>二、乙方的权利与义务</w:t>
      </w:r>
    </w:p>
    <w:p>
      <w:pPr>
        <w:snapToGrid w:val="0"/>
        <w:spacing w:line="480" w:lineRule="exact"/>
        <w:ind w:firstLine="480" w:firstLineChars="200"/>
        <w:rPr>
          <w:rFonts w:ascii="仿宋" w:hAnsi="仿宋" w:cs="仿宋_GB2312"/>
          <w:szCs w:val="24"/>
        </w:rPr>
      </w:pPr>
      <w:r>
        <w:rPr>
          <w:rFonts w:hint="eastAsia" w:ascii="仿宋" w:hAnsi="仿宋" w:cs="仿宋_GB2312"/>
          <w:szCs w:val="24"/>
        </w:rPr>
        <w:t>1.根据电力交易服务需要，乙方有权向甲方了解与电力交易服务相关的生产经营情况。同时乙方有义务向甲方通报、解释与甲方有关的最新政策、文件、市场规则。</w:t>
      </w:r>
    </w:p>
    <w:p>
      <w:pPr>
        <w:snapToGrid w:val="0"/>
        <w:spacing w:line="480" w:lineRule="exact"/>
        <w:ind w:firstLine="480" w:firstLineChars="200"/>
        <w:rPr>
          <w:rFonts w:ascii="仿宋" w:hAnsi="仿宋" w:cs="仿宋_GB2312"/>
          <w:szCs w:val="24"/>
        </w:rPr>
      </w:pPr>
      <w:r>
        <w:rPr>
          <w:rFonts w:hint="eastAsia" w:ascii="仿宋" w:hAnsi="仿宋" w:cs="仿宋_GB2312"/>
          <w:szCs w:val="24"/>
        </w:rPr>
        <w:t>2.配合甲方工作提供相关资料，并对所提供的资料的真实性、准确性、完整性、有效性负责。</w:t>
      </w:r>
    </w:p>
    <w:p>
      <w:pPr>
        <w:snapToGrid w:val="0"/>
        <w:spacing w:line="480" w:lineRule="exact"/>
        <w:ind w:firstLine="480" w:firstLineChars="200"/>
        <w:rPr>
          <w:rFonts w:ascii="仿宋" w:hAnsi="仿宋" w:cs="仿宋_GB2312"/>
          <w:szCs w:val="24"/>
        </w:rPr>
      </w:pPr>
      <w:r>
        <w:rPr>
          <w:rFonts w:hint="eastAsia" w:ascii="仿宋" w:hAnsi="仿宋" w:cs="仿宋_GB2312"/>
          <w:szCs w:val="24"/>
        </w:rPr>
        <w:t>3.乙方按本合同第三条的内容开展介绍、咨询、服务工作。</w:t>
      </w:r>
    </w:p>
    <w:p>
      <w:pPr>
        <w:snapToGrid w:val="0"/>
        <w:spacing w:line="480" w:lineRule="exact"/>
        <w:ind w:firstLine="480" w:firstLineChars="200"/>
        <w:rPr>
          <w:rFonts w:ascii="仿宋" w:hAnsi="仿宋" w:cs="仿宋_GB2312"/>
          <w:szCs w:val="24"/>
        </w:rPr>
      </w:pPr>
      <w:r>
        <w:rPr>
          <w:rFonts w:hint="eastAsia" w:ascii="仿宋" w:hAnsi="仿宋" w:cs="仿宋_GB2312"/>
          <w:szCs w:val="24"/>
        </w:rPr>
        <w:t>4.乙方根据甲方每月提供的次月申报电量数据，按时在昆明电力交易中心平台进行电力市场化交易。</w:t>
      </w:r>
    </w:p>
    <w:p>
      <w:pPr>
        <w:snapToGrid w:val="0"/>
        <w:spacing w:line="480" w:lineRule="exact"/>
        <w:ind w:firstLine="480" w:firstLineChars="200"/>
        <w:rPr>
          <w:rFonts w:ascii="仿宋" w:hAnsi="仿宋" w:cs="仿宋_GB2312"/>
          <w:szCs w:val="24"/>
        </w:rPr>
      </w:pPr>
      <w:r>
        <w:rPr>
          <w:rFonts w:hint="eastAsia" w:ascii="仿宋" w:hAnsi="仿宋" w:cs="仿宋_GB2312"/>
          <w:szCs w:val="24"/>
        </w:rPr>
        <w:t>5.当甲方发生营业执照相关信息、户名、企业管理员等变更时，乙方应根据甲方提供的相关材料及时在交易系统中完成变更手续。</w:t>
      </w:r>
    </w:p>
    <w:p>
      <w:pPr>
        <w:snapToGrid w:val="0"/>
        <w:spacing w:line="480" w:lineRule="exact"/>
        <w:ind w:firstLine="480" w:firstLineChars="200"/>
        <w:rPr>
          <w:rFonts w:ascii="仿宋" w:hAnsi="仿宋" w:cs="仿宋_GB2312"/>
          <w:szCs w:val="24"/>
        </w:rPr>
      </w:pPr>
      <w:r>
        <w:rPr>
          <w:rFonts w:hint="eastAsia" w:ascii="仿宋" w:hAnsi="仿宋" w:cs="仿宋_GB2312"/>
          <w:szCs w:val="24"/>
        </w:rPr>
        <w:t>6.指派专人为工作联络员，及时与甲方联系沟通，确保工作顺利进行。</w:t>
      </w:r>
    </w:p>
    <w:p>
      <w:pPr>
        <w:snapToGrid w:val="0"/>
        <w:spacing w:line="480" w:lineRule="exact"/>
        <w:ind w:firstLine="480" w:firstLineChars="200"/>
        <w:rPr>
          <w:rFonts w:ascii="仿宋" w:hAnsi="仿宋" w:cs="仿宋_GB2312"/>
          <w:szCs w:val="24"/>
        </w:rPr>
      </w:pPr>
      <w:r>
        <w:rPr>
          <w:rFonts w:hint="eastAsia" w:ascii="仿宋" w:hAnsi="仿宋" w:cs="仿宋_GB2312"/>
          <w:szCs w:val="24"/>
        </w:rPr>
        <w:t>7.对甲方提供的资料进行保密，用完后如数归还甲方。</w:t>
      </w:r>
    </w:p>
    <w:p>
      <w:pPr>
        <w:snapToGrid w:val="0"/>
        <w:spacing w:line="480" w:lineRule="exact"/>
        <w:ind w:firstLine="480" w:firstLineChars="200"/>
        <w:rPr>
          <w:rFonts w:ascii="仿宋" w:hAnsi="仿宋" w:cs="仿宋_GB2312"/>
          <w:szCs w:val="24"/>
        </w:rPr>
      </w:pPr>
      <w:r>
        <w:rPr>
          <w:rFonts w:hint="eastAsia" w:ascii="仿宋" w:hAnsi="仿宋" w:cs="仿宋_GB2312"/>
          <w:szCs w:val="24"/>
        </w:rPr>
        <w:t>三、甲方在本协议内应履行以下责任</w:t>
      </w:r>
    </w:p>
    <w:p>
      <w:pPr>
        <w:snapToGrid w:val="0"/>
        <w:spacing w:line="480" w:lineRule="exact"/>
        <w:ind w:firstLine="480" w:firstLineChars="200"/>
        <w:rPr>
          <w:rFonts w:ascii="仿宋" w:hAnsi="仿宋" w:cs="仿宋_GB2312"/>
          <w:szCs w:val="24"/>
        </w:rPr>
      </w:pPr>
      <w:r>
        <w:rPr>
          <w:rFonts w:hint="eastAsia" w:ascii="仿宋" w:hAnsi="仿宋" w:cs="仿宋_GB2312"/>
          <w:szCs w:val="24"/>
        </w:rPr>
        <w:t>1.甲方在昆明电力交易中心规定的时限内向乙方提供每月实际申报电量申请，同时约定电价和实际申报电量一经确认不得更改。</w:t>
      </w:r>
    </w:p>
    <w:p>
      <w:pPr>
        <w:snapToGrid w:val="0"/>
        <w:spacing w:line="480" w:lineRule="exact"/>
        <w:ind w:firstLine="480" w:firstLineChars="200"/>
        <w:rPr>
          <w:rFonts w:ascii="仿宋" w:hAnsi="仿宋" w:cs="仿宋_GB2312"/>
          <w:szCs w:val="24"/>
        </w:rPr>
      </w:pPr>
      <w:r>
        <w:rPr>
          <w:rFonts w:hint="eastAsia" w:ascii="仿宋" w:hAnsi="仿宋" w:cs="仿宋_GB2312"/>
          <w:szCs w:val="24"/>
        </w:rPr>
        <w:t>2.甲方应按昆明电力交易中心和电网公司规定的电费缴纳方式、交费时间等规定，按时、足额缴纳预付电费、当期电费等。</w:t>
      </w:r>
    </w:p>
    <w:p>
      <w:pPr>
        <w:snapToGrid w:val="0"/>
        <w:spacing w:line="480" w:lineRule="exact"/>
        <w:ind w:firstLine="480" w:firstLineChars="200"/>
        <w:rPr>
          <w:rFonts w:ascii="仿宋" w:hAnsi="仿宋" w:cs="仿宋_GB2312"/>
          <w:szCs w:val="24"/>
        </w:rPr>
      </w:pPr>
      <w:r>
        <w:rPr>
          <w:rFonts w:hint="eastAsia" w:ascii="仿宋" w:hAnsi="仿宋" w:cs="仿宋_GB2312"/>
          <w:szCs w:val="24"/>
        </w:rPr>
        <w:t>3.甲方已经完全知晓月度交易的所有规则和风险，并愿意承担所有的因自身原因造成的损失和赔偿。</w:t>
      </w:r>
    </w:p>
    <w:p>
      <w:pPr>
        <w:snapToGrid w:val="0"/>
        <w:spacing w:line="480" w:lineRule="exact"/>
        <w:ind w:firstLine="480" w:firstLineChars="200"/>
        <w:rPr>
          <w:rFonts w:ascii="仿宋" w:hAnsi="仿宋" w:cs="仿宋_GB2312"/>
          <w:szCs w:val="24"/>
        </w:rPr>
      </w:pPr>
      <w:r>
        <w:rPr>
          <w:rFonts w:hint="eastAsia" w:ascii="仿宋" w:hAnsi="仿宋" w:cs="仿宋_GB2312"/>
          <w:szCs w:val="24"/>
        </w:rPr>
        <w:t>四、乙方在本协议内应履行以下责任</w:t>
      </w:r>
    </w:p>
    <w:p>
      <w:pPr>
        <w:snapToGrid w:val="0"/>
        <w:spacing w:line="480" w:lineRule="exact"/>
        <w:ind w:firstLine="480" w:firstLineChars="200"/>
        <w:rPr>
          <w:rFonts w:ascii="仿宋" w:hAnsi="仿宋" w:cs="仿宋_GB2312"/>
          <w:szCs w:val="24"/>
        </w:rPr>
      </w:pPr>
      <w:bookmarkStart w:id="307" w:name="_Toc13735799"/>
      <w:bookmarkStart w:id="308" w:name="_Toc14094336"/>
      <w:bookmarkStart w:id="309" w:name="_Toc462479622"/>
      <w:r>
        <w:rPr>
          <w:rFonts w:hint="eastAsia" w:ascii="仿宋" w:hAnsi="仿宋" w:cs="仿宋_GB2312"/>
          <w:szCs w:val="24"/>
        </w:rPr>
        <w:t>1.乙方根据甲方提供的实际申报电量在昆明电力交易中心规定的时限内填报，该电量一经确认不得更改。</w:t>
      </w:r>
    </w:p>
    <w:p>
      <w:pPr>
        <w:snapToGrid w:val="0"/>
        <w:spacing w:line="480" w:lineRule="exact"/>
        <w:ind w:firstLine="480" w:firstLineChars="200"/>
        <w:rPr>
          <w:rFonts w:ascii="仿宋" w:hAnsi="仿宋" w:cs="仿宋_GB2312"/>
          <w:szCs w:val="24"/>
        </w:rPr>
      </w:pPr>
      <w:r>
        <w:rPr>
          <w:rFonts w:hint="eastAsia" w:ascii="仿宋" w:hAnsi="仿宋" w:cs="仿宋_GB2312"/>
          <w:szCs w:val="24"/>
        </w:rPr>
        <w:t>2.乙方负责掌握本项目电力市场交易进展情况，及时反馈给甲方。同时根据甲方提出的合理意见，在不影响双方利益的情况下进行合理调整，并确认相关数据。</w:t>
      </w:r>
    </w:p>
    <w:p>
      <w:pPr>
        <w:snapToGrid w:val="0"/>
        <w:spacing w:line="480" w:lineRule="exact"/>
        <w:ind w:firstLine="480" w:firstLineChars="200"/>
        <w:rPr>
          <w:rFonts w:ascii="仿宋" w:hAnsi="仿宋" w:cs="仿宋_GB2312"/>
          <w:szCs w:val="24"/>
        </w:rPr>
      </w:pPr>
      <w:r>
        <w:rPr>
          <w:rFonts w:hint="eastAsia" w:ascii="仿宋" w:hAnsi="仿宋" w:cs="仿宋_GB2312"/>
          <w:szCs w:val="24"/>
        </w:rPr>
        <w:t>3.乙方负责按照昆明电力交易中心有关电力交易服务费缴纳标准，承担甲方应缴纳的电力交易服务费。</w:t>
      </w:r>
    </w:p>
    <w:bookmarkEnd w:id="307"/>
    <w:bookmarkEnd w:id="308"/>
    <w:bookmarkEnd w:id="309"/>
    <w:p>
      <w:pPr>
        <w:pStyle w:val="14"/>
        <w:snapToGrid w:val="0"/>
        <w:spacing w:before="0" w:after="0" w:line="480" w:lineRule="exact"/>
        <w:ind w:firstLine="482" w:firstLineChars="200"/>
        <w:jc w:val="left"/>
        <w:rPr>
          <w:rFonts w:ascii="仿宋" w:hAnsi="仿宋" w:eastAsia="仿宋" w:cs="黑体"/>
          <w:sz w:val="24"/>
          <w:szCs w:val="24"/>
        </w:rPr>
      </w:pPr>
      <w:bookmarkStart w:id="310" w:name="_Toc462479623"/>
      <w:r>
        <w:rPr>
          <w:rFonts w:hint="eastAsia" w:ascii="仿宋" w:hAnsi="仿宋" w:eastAsia="仿宋" w:cs="黑体"/>
          <w:sz w:val="24"/>
          <w:szCs w:val="24"/>
        </w:rPr>
        <w:t>第五条   费用结算</w:t>
      </w:r>
    </w:p>
    <w:p>
      <w:pPr>
        <w:snapToGrid w:val="0"/>
        <w:spacing w:line="480" w:lineRule="exact"/>
        <w:ind w:firstLine="480" w:firstLineChars="200"/>
        <w:rPr>
          <w:rFonts w:ascii="仿宋" w:hAnsi="仿宋" w:cs="仿宋_GB2312"/>
          <w:szCs w:val="24"/>
        </w:rPr>
      </w:pPr>
      <w:r>
        <w:rPr>
          <w:rFonts w:hint="eastAsia" w:ascii="仿宋" w:hAnsi="仿宋" w:cs="仿宋_GB2312"/>
          <w:szCs w:val="24"/>
        </w:rPr>
        <w:t>本合同不产生结算费用。当乙方与第三方联系录入电价低于本合同约定电价部分作为乙方售电服务费用，且该费用由乙方向云南电网有限责任公司进行结算，甲方不再与乙方单独结算。当乙方与第三方联系录入电价高于本合同约定电价部分，高出部分由乙方全权承担，乙方不再与甲方单独结算。</w:t>
      </w:r>
    </w:p>
    <w:p>
      <w:pPr>
        <w:pStyle w:val="14"/>
        <w:snapToGrid w:val="0"/>
        <w:spacing w:before="0" w:after="0" w:line="480" w:lineRule="exact"/>
        <w:ind w:firstLine="482" w:firstLineChars="200"/>
        <w:jc w:val="left"/>
        <w:rPr>
          <w:rFonts w:ascii="仿宋" w:hAnsi="仿宋" w:eastAsia="仿宋" w:cs="黑体"/>
          <w:sz w:val="24"/>
          <w:szCs w:val="24"/>
        </w:rPr>
      </w:pPr>
      <w:bookmarkStart w:id="311" w:name="_Toc14094337"/>
      <w:bookmarkStart w:id="312" w:name="_Toc13735800"/>
      <w:r>
        <w:rPr>
          <w:rFonts w:hint="eastAsia" w:ascii="仿宋" w:hAnsi="仿宋" w:eastAsia="仿宋" w:cs="黑体"/>
          <w:sz w:val="24"/>
          <w:szCs w:val="24"/>
        </w:rPr>
        <w:t>第六条   违约责任</w:t>
      </w:r>
      <w:bookmarkEnd w:id="310"/>
      <w:bookmarkEnd w:id="311"/>
      <w:bookmarkEnd w:id="312"/>
    </w:p>
    <w:p>
      <w:pPr>
        <w:snapToGrid w:val="0"/>
        <w:spacing w:line="480" w:lineRule="exact"/>
        <w:ind w:firstLine="480" w:firstLineChars="200"/>
        <w:jc w:val="left"/>
        <w:rPr>
          <w:rFonts w:ascii="仿宋" w:hAnsi="仿宋" w:cs="仿宋_GB2312"/>
          <w:szCs w:val="24"/>
        </w:rPr>
      </w:pPr>
      <w:bookmarkStart w:id="313" w:name="_Toc14094338"/>
      <w:r>
        <w:rPr>
          <w:rFonts w:hint="eastAsia" w:ascii="仿宋" w:hAnsi="仿宋" w:cs="仿宋_GB2312"/>
          <w:szCs w:val="24"/>
        </w:rPr>
        <w:t>1.甲方须按云南电网有限责任公司的规定足额缴纳当月电费，若因甲方未按时向云南电网有限责任公司缴纳电费由此给乙方造成损失的，须由甲方按照乙方损失金额支付给乙方，同时按照该笔应付乙方费用总金额的30%向乙方支付违约金。</w:t>
      </w:r>
    </w:p>
    <w:p>
      <w:pPr>
        <w:snapToGrid w:val="0"/>
        <w:spacing w:line="480" w:lineRule="exact"/>
        <w:ind w:firstLine="480" w:firstLineChars="200"/>
        <w:rPr>
          <w:rFonts w:ascii="仿宋" w:hAnsi="仿宋" w:cs="仿宋_GB2312"/>
          <w:szCs w:val="24"/>
        </w:rPr>
      </w:pPr>
      <w:r>
        <w:rPr>
          <w:rFonts w:hint="eastAsia" w:ascii="仿宋" w:hAnsi="仿宋" w:cs="仿宋_GB2312"/>
          <w:szCs w:val="24"/>
        </w:rPr>
        <w:t>2.乙方须严格按照甲方所需电量和本合同约定电价提供服务，合同约定价格和最终申报电量一经确定，双方均不得以任何理由拒绝执行此合同的相关规定。任何一方违反本合同约定条款视为违约，另一方有权要求违约方赔偿违约造成的经济损失。</w:t>
      </w:r>
    </w:p>
    <w:p>
      <w:pPr>
        <w:snapToGrid w:val="0"/>
        <w:spacing w:line="480" w:lineRule="exact"/>
        <w:ind w:firstLine="480" w:firstLineChars="200"/>
        <w:rPr>
          <w:rFonts w:ascii="仿宋" w:hAnsi="仿宋" w:cs="仿宋_GB2312"/>
          <w:szCs w:val="24"/>
        </w:rPr>
      </w:pPr>
      <w:r>
        <w:rPr>
          <w:rFonts w:hint="eastAsia" w:ascii="仿宋" w:hAnsi="仿宋" w:cs="仿宋_GB2312"/>
          <w:szCs w:val="24"/>
        </w:rPr>
        <w:t>3.因甲方经营发生变化导致暂停用电或永久停用电情况未提前告知乙方时，造成甲方自身因少用电量被交易考核的，甲方除承担自身的偏差考核外(偏差电量和考核金额以交易中心核定为准)，因此造成的乙方损失，由甲方负责赔偿给乙方。</w:t>
      </w:r>
    </w:p>
    <w:p>
      <w:pPr>
        <w:snapToGrid w:val="0"/>
        <w:spacing w:line="480" w:lineRule="exact"/>
        <w:ind w:firstLine="480" w:firstLineChars="200"/>
        <w:rPr>
          <w:rFonts w:ascii="仿宋" w:hAnsi="仿宋" w:cs="仿宋_GB2312"/>
          <w:szCs w:val="24"/>
        </w:rPr>
      </w:pPr>
      <w:r>
        <w:rPr>
          <w:rFonts w:hint="eastAsia" w:ascii="仿宋" w:hAnsi="仿宋" w:cs="仿宋_GB2312"/>
          <w:szCs w:val="24"/>
        </w:rPr>
        <w:t>4.甲、乙双方在合同期间内，应严格遵守有关法律、法规和云南电力市场有关规则，凡因一方行为过错导致另一方产生损失，损失全部由过错方承担。未经双方商议，甲方不得擅自申请暂停市场主体资格或退出市场，若甲方强制执行，对双方造成的损失则由甲方全部承担。</w:t>
      </w:r>
    </w:p>
    <w:p>
      <w:pPr>
        <w:snapToGrid w:val="0"/>
        <w:spacing w:line="480" w:lineRule="exact"/>
        <w:ind w:firstLine="600"/>
        <w:rPr>
          <w:rFonts w:ascii="仿宋" w:hAnsi="仿宋" w:cs="仿宋_GB2312"/>
          <w:szCs w:val="24"/>
        </w:rPr>
      </w:pPr>
      <w:r>
        <w:rPr>
          <w:rFonts w:hint="eastAsia" w:ascii="仿宋" w:hAnsi="仿宋" w:cs="仿宋_GB2312"/>
          <w:szCs w:val="24"/>
        </w:rPr>
        <w:t>5.违约方应承担支付违约金、继续履行合同和采取补救措施等责任。在支付违约金、继续履约或者采取补救措施后，仍给对方造成其他损失的，应当赔偿损失。一方违约后，另一方应当采取适当的措施防止损失的扩大。如果该方没有采取适当的措施致使损失扩大的，则其不得就扩大的损失要求违约方承担赔偿责任。</w:t>
      </w:r>
    </w:p>
    <w:p>
      <w:pPr>
        <w:pStyle w:val="14"/>
        <w:tabs>
          <w:tab w:val="center" w:pos="4153"/>
        </w:tabs>
        <w:snapToGrid w:val="0"/>
        <w:spacing w:before="0" w:after="0" w:line="480" w:lineRule="exact"/>
        <w:ind w:firstLine="482" w:firstLineChars="200"/>
        <w:jc w:val="left"/>
        <w:rPr>
          <w:rFonts w:ascii="仿宋" w:hAnsi="仿宋" w:eastAsia="仿宋" w:cs="黑体"/>
          <w:sz w:val="24"/>
          <w:szCs w:val="24"/>
        </w:rPr>
      </w:pPr>
      <w:r>
        <w:rPr>
          <w:rFonts w:hint="eastAsia" w:ascii="仿宋" w:hAnsi="仿宋" w:eastAsia="仿宋" w:cs="黑体"/>
          <w:sz w:val="24"/>
          <w:szCs w:val="24"/>
        </w:rPr>
        <w:t>第七条   其他</w:t>
      </w:r>
      <w:bookmarkEnd w:id="313"/>
    </w:p>
    <w:p>
      <w:pPr>
        <w:snapToGrid w:val="0"/>
        <w:spacing w:line="480" w:lineRule="exact"/>
        <w:ind w:firstLine="480" w:firstLineChars="200"/>
        <w:jc w:val="left"/>
        <w:rPr>
          <w:rFonts w:ascii="仿宋" w:hAnsi="仿宋" w:cs="仿宋_GB2312"/>
          <w:szCs w:val="24"/>
        </w:rPr>
      </w:pPr>
      <w:r>
        <w:rPr>
          <w:rFonts w:hint="eastAsia" w:ascii="仿宋" w:hAnsi="仿宋" w:cs="仿宋_GB2312"/>
          <w:szCs w:val="24"/>
        </w:rPr>
        <w:t>1.经双方协商确定，乙方为甲方代购2026年9月1日—2027年12月31日（分月）双边交易电量和约定电价按以下标准执行：</w:t>
      </w:r>
    </w:p>
    <w:tbl>
      <w:tblPr>
        <w:tblStyle w:val="16"/>
        <w:tblW w:w="89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06"/>
        <w:gridCol w:w="1418"/>
        <w:gridCol w:w="2088"/>
        <w:gridCol w:w="1985"/>
        <w:gridCol w:w="1877"/>
        <w:gridCol w:w="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29"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szCs w:val="24"/>
              </w:rPr>
            </w:pPr>
            <w:bookmarkStart w:id="314" w:name="OLE_LINK14"/>
            <w:bookmarkStart w:id="315" w:name="OLE_LINK26"/>
            <w:bookmarkStart w:id="316" w:name="OLE_LINK40"/>
            <w:bookmarkStart w:id="317" w:name="OLE_LINK13"/>
            <w:r>
              <w:rPr>
                <w:rFonts w:hint="eastAsia" w:ascii="仿宋" w:hAnsi="仿宋" w:cs="仿宋_GB2312"/>
                <w:kern w:val="0"/>
                <w:szCs w:val="24"/>
              </w:rPr>
              <w:t>月份</w:t>
            </w:r>
          </w:p>
        </w:tc>
        <w:tc>
          <w:tcPr>
            <w:tcW w:w="141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kern w:val="0"/>
                <w:szCs w:val="24"/>
              </w:rPr>
              <w:t>用电户号</w:t>
            </w: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kern w:val="0"/>
                <w:szCs w:val="24"/>
              </w:rPr>
              <w:t>年度（分月）预估交易电量（万kWh</w:t>
            </w:r>
            <w:r>
              <w:rPr>
                <w:rStyle w:val="36"/>
                <w:rFonts w:hint="default" w:ascii="仿宋" w:hAnsi="仿宋" w:eastAsia="仿宋" w:cs="仿宋_GB2312"/>
              </w:rPr>
              <w:t>）</w:t>
            </w:r>
          </w:p>
        </w:tc>
        <w:tc>
          <w:tcPr>
            <w:tcW w:w="1985"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非现货电量交易单价（</w:t>
            </w:r>
            <w:bookmarkStart w:id="318" w:name="OLE_LINK5"/>
            <w:bookmarkStart w:id="319" w:name="OLE_LINK6"/>
            <w:r>
              <w:rPr>
                <w:rFonts w:hint="eastAsia" w:ascii="仿宋" w:hAnsi="仿宋" w:cs="仿宋_GB2312"/>
                <w:kern w:val="0"/>
                <w:szCs w:val="24"/>
              </w:rPr>
              <w:t>元/kWh</w:t>
            </w:r>
            <w:bookmarkEnd w:id="318"/>
            <w:bookmarkEnd w:id="319"/>
            <w:r>
              <w:rPr>
                <w:rFonts w:hint="eastAsia" w:ascii="仿宋" w:hAnsi="仿宋" w:cs="仿宋_GB2312"/>
                <w:kern w:val="0"/>
                <w:szCs w:val="24"/>
              </w:rPr>
              <w:t>）</w:t>
            </w:r>
          </w:p>
        </w:tc>
        <w:tc>
          <w:tcPr>
            <w:tcW w:w="1948" w:type="dxa"/>
            <w:gridSpan w:val="2"/>
            <w:vAlign w:val="center"/>
          </w:tcPr>
          <w:p>
            <w:pPr>
              <w:widowControl/>
              <w:snapToGrid w:val="0"/>
              <w:textAlignment w:val="center"/>
              <w:rPr>
                <w:rFonts w:ascii="仿宋" w:hAnsi="仿宋" w:cs="仿宋_GB2312"/>
                <w:kern w:val="0"/>
                <w:szCs w:val="24"/>
              </w:rPr>
            </w:pPr>
            <w:r>
              <w:rPr>
                <w:rFonts w:hint="eastAsia" w:ascii="仿宋" w:hAnsi="仿宋" w:cs="仿宋_GB2312"/>
                <w:kern w:val="0"/>
                <w:szCs w:val="24"/>
              </w:rPr>
              <w:t>现货电量交易单价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2026年9月</w:t>
            </w:r>
          </w:p>
        </w:tc>
        <w:tc>
          <w:tcPr>
            <w:tcW w:w="1418" w:type="dxa"/>
            <w:vMerge w:val="restart"/>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gridSpan w:val="2"/>
            <w:vMerge w:val="restart"/>
            <w:vAlign w:val="center"/>
          </w:tcPr>
          <w:p>
            <w:pPr>
              <w:widowControl/>
              <w:snapToGrid w:val="0"/>
              <w:textAlignment w:val="center"/>
              <w:rPr>
                <w:rFonts w:ascii="仿宋" w:hAnsi="仿宋" w:cs="仿宋_GB2312"/>
                <w:kern w:val="0"/>
                <w:szCs w:val="24"/>
              </w:rPr>
            </w:pPr>
            <w:r>
              <w:rPr>
                <w:rFonts w:hint="eastAsia" w:ascii="仿宋" w:hAnsi="仿宋" w:cs="仿宋_GB2312"/>
                <w:kern w:val="0"/>
                <w:szCs w:val="24"/>
              </w:rPr>
              <w:t>每月以市场基准价（日前用户侧综合价格）为准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2026年10月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gridSpan w:val="2"/>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2026年11月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gridSpan w:val="2"/>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2026年12月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gridSpan w:val="2"/>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gridSpan w:val="2"/>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2027年2月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2027年3月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2027年4月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2027年5月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bookmarkStart w:id="320" w:name="OLE_LINK22"/>
            <w:bookmarkStart w:id="321" w:name="OLE_LINK25"/>
            <w:r>
              <w:rPr>
                <w:rFonts w:hint="eastAsia" w:ascii="仿宋" w:hAnsi="仿宋" w:cs="仿宋_GB2312"/>
                <w:kern w:val="0"/>
                <w:szCs w:val="24"/>
              </w:rPr>
              <w:t>2027年</w:t>
            </w:r>
            <w:bookmarkEnd w:id="320"/>
            <w:bookmarkEnd w:id="321"/>
            <w:r>
              <w:rPr>
                <w:rFonts w:hint="eastAsia" w:ascii="仿宋" w:hAnsi="仿宋" w:cs="仿宋_GB2312"/>
                <w:kern w:val="0"/>
                <w:szCs w:val="24"/>
              </w:rPr>
              <w:t>6月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2027年7月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2027年8月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2027年9月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2027年10月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01"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2027年11月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2027年12月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6" w:hRule="atLeast"/>
          <w:jc w:val="center"/>
        </w:trPr>
        <w:tc>
          <w:tcPr>
            <w:tcW w:w="2924" w:type="dxa"/>
            <w:gridSpan w:val="2"/>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kern w:val="0"/>
                <w:szCs w:val="24"/>
              </w:rPr>
              <w:t>全年合计</w:t>
            </w: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gridSpan w:val="2"/>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71" w:type="dxa"/>
          <w:trHeight w:val="3965" w:hRule="atLeast"/>
          <w:jc w:val="center"/>
        </w:trPr>
        <w:tc>
          <w:tcPr>
            <w:tcW w:w="1506" w:type="dxa"/>
            <w:tcMar>
              <w:top w:w="15" w:type="dxa"/>
              <w:left w:w="15" w:type="dxa"/>
              <w:right w:w="15" w:type="dxa"/>
            </w:tcMar>
            <w:vAlign w:val="center"/>
          </w:tcPr>
          <w:p>
            <w:pPr>
              <w:snapToGrid w:val="0"/>
              <w:jc w:val="center"/>
              <w:rPr>
                <w:rFonts w:ascii="仿宋" w:hAnsi="仿宋" w:cs="仿宋_GB2312"/>
                <w:szCs w:val="24"/>
              </w:rPr>
            </w:pPr>
            <w:r>
              <w:rPr>
                <w:rFonts w:hint="eastAsia" w:ascii="仿宋" w:hAnsi="仿宋" w:cs="仿宋_GB2312"/>
                <w:szCs w:val="24"/>
              </w:rPr>
              <w:t>备注</w:t>
            </w:r>
          </w:p>
          <w:p>
            <w:pPr>
              <w:snapToGrid w:val="0"/>
              <w:jc w:val="left"/>
              <w:rPr>
                <w:rFonts w:ascii="仿宋" w:hAnsi="仿宋" w:cs="仿宋_GB2312"/>
                <w:color w:val="000000"/>
                <w:position w:val="-36"/>
                <w:szCs w:val="24"/>
              </w:rPr>
            </w:pPr>
          </w:p>
        </w:tc>
        <w:tc>
          <w:tcPr>
            <w:tcW w:w="7368" w:type="dxa"/>
            <w:gridSpan w:val="4"/>
            <w:tcMar>
              <w:top w:w="15" w:type="dxa"/>
              <w:left w:w="15" w:type="dxa"/>
              <w:right w:w="15" w:type="dxa"/>
            </w:tcMar>
            <w:vAlign w:val="center"/>
          </w:tcPr>
          <w:p>
            <w:pPr>
              <w:tabs>
                <w:tab w:val="left" w:pos="312"/>
              </w:tabs>
              <w:snapToGrid w:val="0"/>
              <w:spacing w:line="240" w:lineRule="atLeast"/>
              <w:jc w:val="left"/>
              <w:rPr>
                <w:rFonts w:ascii="仿宋" w:hAnsi="仿宋" w:cs="仿宋_GB2312"/>
                <w:position w:val="-36"/>
                <w:szCs w:val="24"/>
              </w:rPr>
            </w:pPr>
            <w:r>
              <w:rPr>
                <w:rFonts w:hint="eastAsia" w:ascii="仿宋" w:hAnsi="仿宋" w:cs="仿宋_GB2312"/>
                <w:position w:val="-36"/>
                <w:szCs w:val="24"/>
              </w:rPr>
              <w:t>1.若</w:t>
            </w:r>
            <w:r>
              <w:rPr>
                <w:rFonts w:hint="eastAsia" w:ascii="仿宋" w:hAnsi="仿宋" w:cs="仿宋_GB2312"/>
                <w:color w:val="000000"/>
                <w:position w:val="-36"/>
                <w:szCs w:val="24"/>
              </w:rPr>
              <w:t>云南省发改委对政策进行调整时，则随新下发的文件随之调整，若调整导致采购成本下降，结算单价应相应下调，下调部分直接体现在次月电费账单中。</w:t>
            </w:r>
          </w:p>
          <w:p>
            <w:pPr>
              <w:tabs>
                <w:tab w:val="left" w:pos="312"/>
              </w:tabs>
              <w:snapToGrid w:val="0"/>
              <w:spacing w:line="240" w:lineRule="atLeast"/>
              <w:jc w:val="left"/>
              <w:rPr>
                <w:rFonts w:ascii="仿宋" w:hAnsi="仿宋" w:cs="仿宋_GB2312"/>
                <w:position w:val="-36"/>
                <w:szCs w:val="24"/>
              </w:rPr>
            </w:pPr>
            <w:r>
              <w:rPr>
                <w:rFonts w:hint="eastAsia" w:ascii="仿宋" w:hAnsi="仿宋" w:cs="仿宋_GB2312"/>
                <w:color w:val="000000"/>
                <w:position w:val="-36"/>
                <w:szCs w:val="24"/>
              </w:rPr>
              <w:t>2.不含相应电压等级输配电价、政府性基金及附加、上网环节线损电费、调整电费、基本电费及系统运行费（燃煤容量电费分摊、新能源补偿电费分摊、居民农业损益、分时损益分摊、需求响应分摊）等政府性收取费用。输配电价标准执行《</w:t>
            </w:r>
            <w:bookmarkStart w:id="322" w:name="OLE_LINK38"/>
            <w:bookmarkStart w:id="323" w:name="OLE_LINK39"/>
            <w:r>
              <w:rPr>
                <w:rFonts w:hint="eastAsia" w:ascii="仿宋" w:hAnsi="仿宋" w:cs="仿宋_GB2312"/>
                <w:color w:val="000000"/>
                <w:position w:val="-36"/>
                <w:szCs w:val="24"/>
              </w:rPr>
              <w:t>关于第四监管周期省级电网输配电价及有关事项的通知</w:t>
            </w:r>
            <w:bookmarkEnd w:id="322"/>
            <w:bookmarkEnd w:id="323"/>
            <w:r>
              <w:rPr>
                <w:rFonts w:hint="eastAsia" w:ascii="仿宋" w:hAnsi="仿宋" w:cs="仿宋_GB2312"/>
                <w:color w:val="000000"/>
                <w:position w:val="-36"/>
                <w:szCs w:val="24"/>
              </w:rPr>
              <w:t>》（发改价格〔2026〕1077号）。若云南省发改委对政策进行调整时，则根据新下发的文件随之调整。</w:t>
            </w:r>
          </w:p>
        </w:tc>
      </w:tr>
      <w:bookmarkEnd w:id="314"/>
      <w:bookmarkEnd w:id="315"/>
      <w:bookmarkEnd w:id="316"/>
      <w:bookmarkEnd w:id="317"/>
    </w:tbl>
    <w:p>
      <w:pPr>
        <w:snapToGrid w:val="0"/>
        <w:spacing w:line="480" w:lineRule="exact"/>
        <w:ind w:firstLine="480" w:firstLineChars="200"/>
        <w:jc w:val="left"/>
        <w:rPr>
          <w:rFonts w:ascii="仿宋" w:hAnsi="仿宋" w:cs="仿宋_GB2312"/>
          <w:szCs w:val="24"/>
        </w:rPr>
      </w:pPr>
      <w:r>
        <w:rPr>
          <w:rFonts w:hint="eastAsia" w:ascii="仿宋" w:hAnsi="仿宋" w:cs="仿宋_GB2312"/>
          <w:szCs w:val="24"/>
        </w:rPr>
        <w:t>合同所签署用电户号为甲方与电网公司签订供用电合同时所确定的用电户号。若甲方有新增用电户号，仍按本合同约定执行。</w:t>
      </w:r>
    </w:p>
    <w:p>
      <w:pPr>
        <w:snapToGrid w:val="0"/>
        <w:spacing w:line="480" w:lineRule="exact"/>
        <w:ind w:firstLine="480" w:firstLineChars="200"/>
        <w:rPr>
          <w:rFonts w:ascii="仿宋" w:hAnsi="仿宋" w:cs="仿宋_GB2312"/>
          <w:szCs w:val="24"/>
        </w:rPr>
      </w:pPr>
      <w:r>
        <w:rPr>
          <w:rFonts w:hint="eastAsia" w:ascii="仿宋" w:hAnsi="仿宋" w:cs="仿宋_GB2312"/>
          <w:szCs w:val="24"/>
        </w:rPr>
        <w:t>2.本合同分月预估电量仅作为电力交易系统中电量绑定的参考依据，每月甲方可根据次月实际生产计划进行次月申报电量调整，同时每月在昆明电力交易中心规定的期限内向乙方提供最终次月申报电量，由乙方在交易系统内进行电量调整。根据甲方用电需求，若甲方有月度交易中的日前交易或现货交易所需，乙方有义务为甲方提供相关资源，待甲方认同价格后由乙方协调第三方进行电量保供交易。</w:t>
      </w:r>
    </w:p>
    <w:p>
      <w:pPr>
        <w:snapToGrid w:val="0"/>
        <w:spacing w:line="480" w:lineRule="exact"/>
        <w:ind w:firstLine="480" w:firstLineChars="200"/>
        <w:rPr>
          <w:rFonts w:ascii="仿宋" w:hAnsi="仿宋" w:cs="仿宋_GB2312"/>
          <w:szCs w:val="24"/>
        </w:rPr>
      </w:pPr>
      <w:r>
        <w:rPr>
          <w:rFonts w:hint="eastAsia" w:ascii="仿宋" w:hAnsi="仿宋" w:cs="仿宋_GB2312"/>
          <w:szCs w:val="24"/>
        </w:rPr>
        <w:t>3.每月约定的平时段电价根据当月省内市场行情进行实时调整，并根据调整后价格进行结算，年度约定的平时段均价保持不变。</w:t>
      </w:r>
    </w:p>
    <w:p>
      <w:pPr>
        <w:snapToGrid w:val="0"/>
        <w:spacing w:line="480" w:lineRule="exact"/>
        <w:ind w:firstLine="480" w:firstLineChars="200"/>
        <w:rPr>
          <w:rFonts w:ascii="仿宋" w:hAnsi="仿宋" w:cs="仿宋_GB2312"/>
          <w:szCs w:val="24"/>
        </w:rPr>
      </w:pPr>
      <w:r>
        <w:rPr>
          <w:rFonts w:hint="eastAsia" w:ascii="仿宋" w:hAnsi="仿宋" w:cs="仿宋_GB2312"/>
          <w:szCs w:val="24"/>
        </w:rPr>
        <w:t>4.乙方根据甲方每月实际用电量与实际申报电量之间形成的正负偏差电量的进行消纳处理。偏差电量考核标准按昆明电力交易中心现行相关规定执行，若规定有调整则随之调整。</w:t>
      </w:r>
    </w:p>
    <w:p>
      <w:pPr>
        <w:snapToGrid w:val="0"/>
        <w:spacing w:line="480" w:lineRule="exact"/>
        <w:ind w:firstLine="480" w:firstLineChars="200"/>
        <w:rPr>
          <w:rFonts w:ascii="仿宋" w:hAnsi="仿宋" w:cs="仿宋_GB2312"/>
          <w:szCs w:val="24"/>
        </w:rPr>
      </w:pPr>
      <w:r>
        <w:rPr>
          <w:rFonts w:hint="eastAsia" w:ascii="仿宋" w:hAnsi="仿宋" w:cs="仿宋_GB2312"/>
          <w:szCs w:val="24"/>
        </w:rPr>
        <w:t>5.如遇国家政策调整或不可抗力因素导致双方不能履行合同时，则由双方协商处理。</w:t>
      </w:r>
    </w:p>
    <w:p>
      <w:pPr>
        <w:snapToGrid w:val="0"/>
        <w:spacing w:line="480" w:lineRule="exact"/>
        <w:ind w:firstLine="480" w:firstLineChars="200"/>
        <w:rPr>
          <w:rFonts w:ascii="仿宋" w:hAnsi="仿宋" w:cs="仿宋_GB2312"/>
          <w:szCs w:val="24"/>
        </w:rPr>
      </w:pPr>
      <w:r>
        <w:rPr>
          <w:rFonts w:hint="eastAsia" w:ascii="仿宋" w:hAnsi="仿宋" w:cs="仿宋_GB2312"/>
          <w:szCs w:val="24"/>
        </w:rPr>
        <w:t>6.本协议条款是在现行电力交易方案的基础上制定，若后期新的云南电力市场化交易规则或相关交易政策出台，甲乙双方应友好协商，并以书面补充协议的形式对本协议相关条款进行调整。</w:t>
      </w:r>
    </w:p>
    <w:p>
      <w:pPr>
        <w:snapToGrid w:val="0"/>
        <w:spacing w:line="480" w:lineRule="exact"/>
        <w:ind w:firstLine="482" w:firstLineChars="200"/>
        <w:rPr>
          <w:rFonts w:ascii="仿宋" w:hAnsi="仿宋" w:cs="黑体"/>
          <w:b/>
          <w:bCs/>
          <w:szCs w:val="24"/>
        </w:rPr>
      </w:pPr>
      <w:bookmarkStart w:id="324" w:name="_Toc14094339"/>
      <w:bookmarkStart w:id="325" w:name="_Toc13735801"/>
      <w:bookmarkStart w:id="326" w:name="_Toc534622085"/>
      <w:r>
        <w:rPr>
          <w:rFonts w:hint="eastAsia" w:ascii="仿宋" w:hAnsi="仿宋" w:cs="黑体"/>
          <w:b/>
          <w:bCs/>
          <w:szCs w:val="24"/>
        </w:rPr>
        <w:t>第八条   合同效力与变更</w:t>
      </w:r>
      <w:bookmarkEnd w:id="324"/>
      <w:bookmarkEnd w:id="325"/>
      <w:bookmarkEnd w:id="326"/>
    </w:p>
    <w:p>
      <w:pPr>
        <w:snapToGrid w:val="0"/>
        <w:spacing w:line="480" w:lineRule="exact"/>
        <w:ind w:firstLine="480" w:firstLineChars="200"/>
        <w:rPr>
          <w:rFonts w:ascii="仿宋" w:hAnsi="仿宋" w:cs="仿宋_GB2312"/>
          <w:szCs w:val="24"/>
        </w:rPr>
      </w:pPr>
      <w:r>
        <w:rPr>
          <w:rFonts w:hint="eastAsia" w:ascii="仿宋" w:hAnsi="仿宋" w:cs="仿宋_GB2312"/>
          <w:szCs w:val="24"/>
        </w:rPr>
        <w:t>1.本合同生效后，除双方另行商定并达成书面协议或本合同另有约定或法律规定的原因外，任何一方不得单方解除本合同。</w:t>
      </w:r>
    </w:p>
    <w:p>
      <w:pPr>
        <w:snapToGrid w:val="0"/>
        <w:spacing w:line="480" w:lineRule="exact"/>
        <w:ind w:firstLine="480" w:firstLineChars="200"/>
        <w:rPr>
          <w:rFonts w:ascii="仿宋" w:hAnsi="仿宋" w:cs="仿宋_GB2312"/>
          <w:szCs w:val="24"/>
        </w:rPr>
      </w:pPr>
      <w:r>
        <w:rPr>
          <w:rFonts w:hint="eastAsia" w:ascii="仿宋" w:hAnsi="仿宋" w:cs="仿宋_GB2312"/>
          <w:szCs w:val="24"/>
        </w:rPr>
        <w:t>2.本合同的变更，除双方另有约定外，均需双方共同协商同意并以书面方式做出。</w:t>
      </w:r>
    </w:p>
    <w:p>
      <w:pPr>
        <w:snapToGrid w:val="0"/>
        <w:spacing w:line="480" w:lineRule="exact"/>
        <w:ind w:firstLine="480" w:firstLineChars="200"/>
        <w:rPr>
          <w:rFonts w:ascii="仿宋" w:hAnsi="仿宋" w:cs="仿宋_GB2312"/>
          <w:szCs w:val="24"/>
        </w:rPr>
      </w:pPr>
      <w:r>
        <w:rPr>
          <w:rFonts w:hint="eastAsia" w:ascii="仿宋" w:hAnsi="仿宋" w:cs="仿宋_GB2312"/>
          <w:szCs w:val="24"/>
        </w:rPr>
        <w:t>3.本合同未尽事宜，由双方另行协商并达成一致后，以补充协议方式进行签订。补充协议是本合同的有效组成部分，与本合同具有同等法律效力。如补充协议的约定与本合同不一致的，则以补充协议为准。</w:t>
      </w:r>
    </w:p>
    <w:p>
      <w:pPr>
        <w:snapToGrid w:val="0"/>
        <w:spacing w:line="480" w:lineRule="exact"/>
        <w:ind w:firstLine="482" w:firstLineChars="200"/>
        <w:rPr>
          <w:rFonts w:ascii="仿宋" w:hAnsi="仿宋" w:cs="黑体"/>
          <w:b/>
          <w:bCs/>
          <w:szCs w:val="24"/>
        </w:rPr>
      </w:pPr>
      <w:bookmarkStart w:id="327" w:name="_Toc13735802"/>
      <w:bookmarkStart w:id="328" w:name="_Toc14094340"/>
      <w:bookmarkStart w:id="329" w:name="_Toc534622086"/>
      <w:r>
        <w:rPr>
          <w:rFonts w:hint="eastAsia" w:ascii="仿宋" w:hAnsi="仿宋" w:cs="黑体"/>
          <w:b/>
          <w:bCs/>
          <w:szCs w:val="24"/>
        </w:rPr>
        <w:t>第九条   声明条款</w:t>
      </w:r>
      <w:bookmarkEnd w:id="327"/>
      <w:bookmarkEnd w:id="328"/>
      <w:bookmarkEnd w:id="329"/>
    </w:p>
    <w:p>
      <w:pPr>
        <w:snapToGrid w:val="0"/>
        <w:spacing w:line="480" w:lineRule="exact"/>
        <w:ind w:firstLine="480" w:firstLineChars="200"/>
        <w:rPr>
          <w:rFonts w:ascii="仿宋" w:hAnsi="仿宋" w:cs="仿宋_GB2312"/>
          <w:szCs w:val="24"/>
        </w:rPr>
      </w:pPr>
      <w:r>
        <w:rPr>
          <w:rFonts w:hint="eastAsia" w:ascii="仿宋" w:hAnsi="仿宋" w:cs="仿宋_GB2312"/>
          <w:szCs w:val="24"/>
        </w:rPr>
        <w:t>1.甲、乙双方已阅读本合同所有条款，对本合同条款的含义及相应的法律后果已全部知晓并充分理解。</w:t>
      </w:r>
    </w:p>
    <w:p>
      <w:pPr>
        <w:snapToGrid w:val="0"/>
        <w:spacing w:line="480" w:lineRule="exact"/>
        <w:ind w:firstLine="480" w:firstLineChars="200"/>
        <w:rPr>
          <w:rFonts w:ascii="仿宋" w:hAnsi="仿宋" w:cs="仿宋_GB2312"/>
          <w:szCs w:val="24"/>
        </w:rPr>
      </w:pPr>
      <w:r>
        <w:rPr>
          <w:rFonts w:hint="eastAsia" w:ascii="仿宋" w:hAnsi="仿宋" w:cs="仿宋_GB2312"/>
          <w:szCs w:val="24"/>
        </w:rPr>
        <w:t>2.乙方仅从专业的角度向甲方提供有关建议或电力交易服务，提供的所有信息资料仅供甲方参考；甲方对乙方提供的电力交易服务建议进行独立判断，独立决策，并自行承担由此产生的风险。 </w:t>
      </w:r>
    </w:p>
    <w:p>
      <w:pPr>
        <w:snapToGrid w:val="0"/>
        <w:spacing w:line="480" w:lineRule="exact"/>
        <w:ind w:firstLine="482" w:firstLineChars="200"/>
        <w:rPr>
          <w:rFonts w:ascii="仿宋" w:hAnsi="仿宋" w:cs="黑体"/>
          <w:b/>
          <w:bCs/>
          <w:szCs w:val="24"/>
        </w:rPr>
      </w:pPr>
      <w:bookmarkStart w:id="330" w:name="_Toc14094341"/>
      <w:bookmarkStart w:id="331" w:name="_Toc13735803"/>
      <w:bookmarkStart w:id="332" w:name="_Toc534622087"/>
      <w:r>
        <w:rPr>
          <w:rFonts w:hint="eastAsia" w:ascii="仿宋" w:hAnsi="仿宋" w:cs="黑体"/>
          <w:b/>
          <w:bCs/>
          <w:szCs w:val="24"/>
        </w:rPr>
        <w:t>第十条   争议处理</w:t>
      </w:r>
      <w:bookmarkEnd w:id="330"/>
      <w:bookmarkEnd w:id="331"/>
      <w:bookmarkEnd w:id="332"/>
    </w:p>
    <w:p>
      <w:pPr>
        <w:snapToGrid w:val="0"/>
        <w:spacing w:line="480" w:lineRule="exact"/>
        <w:ind w:firstLine="480" w:firstLineChars="200"/>
        <w:rPr>
          <w:rFonts w:ascii="仿宋" w:hAnsi="仿宋" w:cs="仿宋_GB2312"/>
          <w:szCs w:val="24"/>
        </w:rPr>
      </w:pPr>
      <w:r>
        <w:rPr>
          <w:rFonts w:hint="eastAsia" w:ascii="仿宋" w:hAnsi="仿宋" w:cs="仿宋_GB2312"/>
          <w:szCs w:val="24"/>
        </w:rPr>
        <w:t>双方在履行本合同的过程中若发生纠纷，应通过友好协商解决。协商不一致的，向乙方住所地人民法院起诉。在诉讼期间，本合同不涉及争议部分的条款仍须履行。</w:t>
      </w:r>
    </w:p>
    <w:p>
      <w:pPr>
        <w:snapToGrid w:val="0"/>
        <w:spacing w:line="480" w:lineRule="exact"/>
        <w:ind w:firstLine="482" w:firstLineChars="200"/>
        <w:rPr>
          <w:rFonts w:ascii="仿宋" w:hAnsi="仿宋" w:cs="黑体"/>
          <w:b/>
          <w:bCs/>
          <w:szCs w:val="24"/>
        </w:rPr>
      </w:pPr>
      <w:bookmarkStart w:id="333" w:name="_Toc534622088"/>
      <w:bookmarkStart w:id="334" w:name="_Toc14094342"/>
      <w:r>
        <w:rPr>
          <w:rFonts w:hint="eastAsia" w:ascii="仿宋" w:hAnsi="仿宋" w:cs="黑体"/>
          <w:b/>
          <w:bCs/>
          <w:szCs w:val="24"/>
        </w:rPr>
        <w:t>第十一条   其它条款</w:t>
      </w:r>
      <w:bookmarkEnd w:id="333"/>
      <w:bookmarkEnd w:id="334"/>
    </w:p>
    <w:p>
      <w:pPr>
        <w:snapToGrid w:val="0"/>
        <w:spacing w:line="480" w:lineRule="exact"/>
        <w:ind w:firstLine="480" w:firstLineChars="200"/>
        <w:rPr>
          <w:rFonts w:ascii="仿宋" w:hAnsi="仿宋" w:cs="仿宋_GB2312"/>
          <w:szCs w:val="24"/>
        </w:rPr>
      </w:pPr>
      <w:r>
        <w:rPr>
          <w:rFonts w:hint="eastAsia" w:ascii="仿宋" w:hAnsi="仿宋" w:cs="仿宋_GB2312"/>
          <w:szCs w:val="24"/>
        </w:rPr>
        <w:t>1.本合同经双方法定代表人或委托代理人签字并加盖公章或合同专用章后生效。</w:t>
      </w:r>
    </w:p>
    <w:p>
      <w:pPr>
        <w:snapToGrid w:val="0"/>
        <w:spacing w:line="480" w:lineRule="exact"/>
        <w:ind w:firstLine="480" w:firstLineChars="200"/>
        <w:rPr>
          <w:rFonts w:ascii="仿宋" w:hAnsi="仿宋" w:cs="仿宋_GB2312"/>
          <w:szCs w:val="24"/>
        </w:rPr>
      </w:pPr>
      <w:r>
        <w:rPr>
          <w:rFonts w:hint="eastAsia" w:ascii="仿宋" w:hAnsi="仿宋" w:cs="仿宋_GB2312"/>
          <w:szCs w:val="24"/>
        </w:rPr>
        <w:t>2.本合同壹式肆份，甲乙双方各执贰份，具有同等法律效力。</w:t>
      </w:r>
    </w:p>
    <w:p>
      <w:pPr>
        <w:snapToGrid w:val="0"/>
        <w:spacing w:line="480" w:lineRule="exact"/>
        <w:ind w:firstLine="480" w:firstLineChars="200"/>
        <w:rPr>
          <w:rFonts w:ascii="仿宋" w:hAnsi="仿宋" w:cs="仿宋_GB2312"/>
          <w:szCs w:val="24"/>
        </w:rPr>
      </w:pPr>
      <w:r>
        <w:rPr>
          <w:rFonts w:hint="eastAsia" w:ascii="仿宋" w:hAnsi="仿宋" w:cs="仿宋_GB2312"/>
          <w:szCs w:val="24"/>
        </w:rPr>
        <w:t>3.甲方和电网公司的结算单据属于本合同中涉及的文件资料，作为本合同附件。</w:t>
      </w:r>
    </w:p>
    <w:p>
      <w:pPr>
        <w:snapToGrid w:val="0"/>
        <w:spacing w:line="480" w:lineRule="exact"/>
        <w:ind w:firstLine="480" w:firstLineChars="200"/>
        <w:rPr>
          <w:rFonts w:ascii="仿宋" w:hAnsi="仿宋" w:cs="仿宋_GB2312"/>
          <w:szCs w:val="24"/>
        </w:rPr>
      </w:pPr>
      <w:r>
        <w:rPr>
          <w:rFonts w:hint="eastAsia" w:ascii="仿宋" w:hAnsi="仿宋" w:cs="仿宋_GB2312"/>
          <w:szCs w:val="24"/>
        </w:rPr>
        <w:t>4.除上下文另有要求外，本合同所指的年、月、日均为公历年、月、日。</w:t>
      </w:r>
      <w:bookmarkEnd w:id="296"/>
      <w:bookmarkEnd w:id="297"/>
    </w:p>
    <w:bookmarkEnd w:id="298"/>
    <w:bookmarkEnd w:id="299"/>
    <w:p>
      <w:pPr>
        <w:snapToGrid w:val="0"/>
        <w:spacing w:line="480" w:lineRule="exact"/>
        <w:ind w:firstLine="480" w:firstLineChars="200"/>
        <w:rPr>
          <w:rFonts w:ascii="仿宋" w:hAnsi="仿宋" w:cs="仿宋_GB2312"/>
          <w:szCs w:val="24"/>
        </w:rPr>
      </w:pPr>
    </w:p>
    <w:p>
      <w:pPr>
        <w:snapToGrid w:val="0"/>
        <w:spacing w:line="480" w:lineRule="exact"/>
        <w:ind w:firstLine="480" w:firstLineChars="200"/>
        <w:rPr>
          <w:rFonts w:ascii="仿宋" w:hAnsi="仿宋" w:cs="仿宋_GB2312"/>
          <w:szCs w:val="24"/>
        </w:rPr>
      </w:pPr>
      <w:r>
        <w:rPr>
          <w:rFonts w:hint="eastAsia" w:ascii="仿宋" w:hAnsi="仿宋" w:cs="仿宋_GB2312"/>
          <w:szCs w:val="24"/>
        </w:rPr>
        <w:t>(以下无正文)</w:t>
      </w:r>
    </w:p>
    <w:p>
      <w:pPr>
        <w:snapToGrid w:val="0"/>
        <w:spacing w:line="360" w:lineRule="auto"/>
        <w:ind w:firstLine="480" w:firstLineChars="200"/>
        <w:rPr>
          <w:rFonts w:ascii="仿宋" w:hAnsi="仿宋" w:cs="仿宋_GB2312"/>
          <w:szCs w:val="24"/>
        </w:rPr>
      </w:pPr>
    </w:p>
    <w:p>
      <w:pPr>
        <w:snapToGrid w:val="0"/>
        <w:spacing w:line="360" w:lineRule="auto"/>
        <w:ind w:firstLine="480" w:firstLineChars="200"/>
        <w:rPr>
          <w:rFonts w:ascii="仿宋" w:hAnsi="仿宋" w:cs="仿宋_GB2312"/>
          <w:szCs w:val="24"/>
        </w:rPr>
      </w:pPr>
    </w:p>
    <w:p>
      <w:pPr>
        <w:snapToGrid w:val="0"/>
        <w:spacing w:line="360" w:lineRule="auto"/>
        <w:ind w:firstLine="480" w:firstLineChars="200"/>
        <w:rPr>
          <w:rFonts w:ascii="仿宋" w:hAnsi="仿宋" w:cs="仿宋_GB2312"/>
          <w:szCs w:val="24"/>
        </w:rPr>
      </w:pPr>
    </w:p>
    <w:p>
      <w:pPr>
        <w:snapToGrid w:val="0"/>
        <w:spacing w:line="360" w:lineRule="auto"/>
        <w:ind w:firstLine="480" w:firstLineChars="200"/>
        <w:rPr>
          <w:rFonts w:ascii="仿宋" w:hAnsi="仿宋" w:cs="仿宋_GB2312"/>
          <w:szCs w:val="24"/>
        </w:rPr>
      </w:pPr>
    </w:p>
    <w:p>
      <w:pPr>
        <w:snapToGrid w:val="0"/>
        <w:spacing w:line="360" w:lineRule="auto"/>
        <w:ind w:firstLine="480" w:firstLineChars="200"/>
        <w:rPr>
          <w:rFonts w:ascii="仿宋" w:hAnsi="仿宋" w:cs="仿宋_GB2312"/>
          <w:szCs w:val="24"/>
        </w:rPr>
      </w:pPr>
    </w:p>
    <w:p>
      <w:pPr>
        <w:snapToGrid w:val="0"/>
        <w:spacing w:line="360" w:lineRule="auto"/>
        <w:ind w:firstLine="480" w:firstLineChars="200"/>
        <w:rPr>
          <w:rFonts w:ascii="仿宋" w:hAnsi="仿宋" w:cs="仿宋_GB2312"/>
          <w:szCs w:val="24"/>
        </w:rPr>
      </w:pPr>
      <w:r>
        <w:rPr>
          <w:rFonts w:hint="eastAsia" w:ascii="仿宋" w:hAnsi="仿宋" w:cs="仿宋_GB2312"/>
          <w:szCs w:val="24"/>
        </w:rPr>
        <w:t>（签字页，无正文）</w:t>
      </w:r>
    </w:p>
    <w:tbl>
      <w:tblPr>
        <w:tblStyle w:val="16"/>
        <w:tblW w:w="93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9"/>
        <w:gridCol w:w="4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1" w:hRule="atLeast"/>
          <w:jc w:val="center"/>
        </w:trPr>
        <w:tc>
          <w:tcPr>
            <w:tcW w:w="4779" w:type="dxa"/>
            <w:vAlign w:val="center"/>
          </w:tcPr>
          <w:p>
            <w:pPr>
              <w:snapToGrid w:val="0"/>
              <w:spacing w:before="14" w:line="16" w:lineRule="atLeast"/>
              <w:rPr>
                <w:rFonts w:ascii="仿宋" w:hAnsi="仿宋" w:cs="仿宋_GB2312"/>
                <w:b/>
                <w:bCs/>
                <w:szCs w:val="24"/>
              </w:rPr>
            </w:pPr>
            <w:r>
              <w:rPr>
                <w:rFonts w:hint="eastAsia" w:ascii="仿宋" w:hAnsi="仿宋" w:cs="仿宋_GB2312"/>
                <w:b/>
                <w:bCs/>
                <w:szCs w:val="24"/>
              </w:rPr>
              <w:t>甲方（盖章）：</w:t>
            </w:r>
          </w:p>
        </w:tc>
        <w:tc>
          <w:tcPr>
            <w:tcW w:w="4614" w:type="dxa"/>
            <w:vAlign w:val="center"/>
          </w:tcPr>
          <w:p>
            <w:pPr>
              <w:snapToGrid w:val="0"/>
              <w:spacing w:before="14" w:line="16" w:lineRule="atLeast"/>
              <w:rPr>
                <w:rFonts w:ascii="仿宋" w:hAnsi="仿宋" w:cs="仿宋_GB2312"/>
                <w:b/>
                <w:bCs/>
                <w:szCs w:val="24"/>
              </w:rPr>
            </w:pPr>
            <w:r>
              <w:rPr>
                <w:rFonts w:hint="eastAsia" w:ascii="仿宋" w:hAnsi="仿宋" w:cs="仿宋_GB2312"/>
                <w:b/>
                <w:bCs/>
                <w:szCs w:val="24"/>
              </w:rPr>
              <w:t>乙方（盖章）：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jc w:val="center"/>
        </w:trPr>
        <w:tc>
          <w:tcPr>
            <w:tcW w:w="4779" w:type="dxa"/>
            <w:vAlign w:val="center"/>
          </w:tcPr>
          <w:p>
            <w:pPr>
              <w:snapToGrid w:val="0"/>
              <w:spacing w:before="14" w:line="16" w:lineRule="atLeast"/>
              <w:rPr>
                <w:rFonts w:ascii="仿宋" w:hAnsi="仿宋" w:cs="仿宋_GB2312"/>
                <w:szCs w:val="24"/>
              </w:rPr>
            </w:pPr>
            <w:r>
              <w:rPr>
                <w:rFonts w:hint="eastAsia" w:ascii="仿宋" w:hAnsi="仿宋" w:cs="仿宋_GB2312"/>
                <w:szCs w:val="24"/>
              </w:rPr>
              <w:t>地址：</w:t>
            </w:r>
          </w:p>
        </w:tc>
        <w:tc>
          <w:tcPr>
            <w:tcW w:w="4614" w:type="dxa"/>
            <w:vAlign w:val="center"/>
          </w:tcPr>
          <w:p>
            <w:pPr>
              <w:autoSpaceDE w:val="0"/>
              <w:autoSpaceDN w:val="0"/>
              <w:adjustRightInd w:val="0"/>
              <w:snapToGrid w:val="0"/>
              <w:spacing w:line="16" w:lineRule="atLeast"/>
              <w:rPr>
                <w:rFonts w:ascii="仿宋" w:hAnsi="仿宋" w:cs="仿宋_GB2312"/>
                <w:szCs w:val="24"/>
                <w:u w:val="single"/>
              </w:rPr>
            </w:pPr>
            <w:r>
              <w:rPr>
                <w:rFonts w:hint="eastAsia" w:ascii="仿宋" w:hAnsi="仿宋" w:cs="仿宋_GB2312"/>
                <w:szCs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0" w:hRule="atLeast"/>
          <w:jc w:val="center"/>
        </w:trPr>
        <w:tc>
          <w:tcPr>
            <w:tcW w:w="4779" w:type="dxa"/>
            <w:vAlign w:val="center"/>
          </w:tcPr>
          <w:p>
            <w:pPr>
              <w:snapToGrid w:val="0"/>
              <w:spacing w:before="14" w:line="16" w:lineRule="atLeast"/>
              <w:rPr>
                <w:rFonts w:ascii="仿宋" w:hAnsi="仿宋" w:cs="仿宋_GB2312"/>
                <w:szCs w:val="24"/>
              </w:rPr>
            </w:pPr>
            <w:r>
              <w:rPr>
                <w:rFonts w:hint="eastAsia" w:ascii="仿宋" w:hAnsi="仿宋" w:cs="仿宋_GB2312"/>
                <w:szCs w:val="24"/>
              </w:rPr>
              <w:t>法定代表人或</w:t>
            </w:r>
          </w:p>
          <w:p>
            <w:pPr>
              <w:snapToGrid w:val="0"/>
              <w:spacing w:before="14" w:line="16" w:lineRule="atLeast"/>
              <w:rPr>
                <w:rFonts w:ascii="仿宋" w:hAnsi="仿宋" w:cs="仿宋_GB2312"/>
                <w:szCs w:val="24"/>
              </w:rPr>
            </w:pPr>
            <w:r>
              <w:rPr>
                <w:rFonts w:hint="eastAsia" w:ascii="仿宋" w:hAnsi="仿宋" w:cs="仿宋_GB2312"/>
                <w:szCs w:val="24"/>
              </w:rPr>
              <w:t>委托代理人（签字）：</w:t>
            </w:r>
          </w:p>
        </w:tc>
        <w:tc>
          <w:tcPr>
            <w:tcW w:w="4614" w:type="dxa"/>
            <w:vAlign w:val="center"/>
          </w:tcPr>
          <w:p>
            <w:pPr>
              <w:snapToGrid w:val="0"/>
              <w:spacing w:before="14" w:line="16" w:lineRule="atLeast"/>
              <w:ind w:left="-5" w:leftChars="-2" w:firstLine="4" w:firstLineChars="2"/>
              <w:rPr>
                <w:rFonts w:ascii="仿宋" w:hAnsi="仿宋" w:cs="仿宋_GB2312"/>
                <w:szCs w:val="24"/>
              </w:rPr>
            </w:pPr>
            <w:r>
              <w:rPr>
                <w:rFonts w:hint="eastAsia" w:ascii="仿宋" w:hAnsi="仿宋" w:cs="仿宋_GB2312"/>
                <w:szCs w:val="24"/>
              </w:rPr>
              <w:t>法定代表人或</w:t>
            </w:r>
          </w:p>
          <w:p>
            <w:pPr>
              <w:snapToGrid w:val="0"/>
              <w:spacing w:before="14" w:line="16" w:lineRule="atLeast"/>
              <w:ind w:left="-5" w:leftChars="-2" w:firstLine="4" w:firstLineChars="2"/>
              <w:rPr>
                <w:rFonts w:ascii="仿宋" w:hAnsi="仿宋" w:cs="仿宋_GB2312"/>
                <w:szCs w:val="24"/>
              </w:rPr>
            </w:pPr>
            <w:r>
              <w:rPr>
                <w:rFonts w:hint="eastAsia" w:ascii="仿宋" w:hAnsi="仿宋" w:cs="仿宋_GB2312"/>
                <w:szCs w:val="24"/>
              </w:rPr>
              <w:t>委托代理人（签字）：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4779" w:type="dxa"/>
            <w:vAlign w:val="center"/>
          </w:tcPr>
          <w:p>
            <w:pPr>
              <w:snapToGrid w:val="0"/>
              <w:spacing w:before="14" w:line="16" w:lineRule="atLeast"/>
              <w:rPr>
                <w:rFonts w:ascii="仿宋" w:hAnsi="仿宋" w:cs="仿宋_GB2312"/>
                <w:szCs w:val="24"/>
              </w:rPr>
            </w:pPr>
            <w:r>
              <w:rPr>
                <w:rFonts w:hint="eastAsia" w:ascii="仿宋" w:hAnsi="仿宋" w:cs="仿宋_GB2312"/>
                <w:szCs w:val="24"/>
              </w:rPr>
              <w:t>审核人：</w:t>
            </w:r>
          </w:p>
        </w:tc>
        <w:tc>
          <w:tcPr>
            <w:tcW w:w="4614" w:type="dxa"/>
            <w:vAlign w:val="center"/>
          </w:tcPr>
          <w:p>
            <w:pPr>
              <w:snapToGrid w:val="0"/>
              <w:spacing w:before="14" w:line="16" w:lineRule="atLeast"/>
              <w:ind w:left="701" w:leftChars="-1" w:hanging="703" w:hangingChars="293"/>
              <w:rPr>
                <w:rFonts w:ascii="仿宋" w:hAnsi="仿宋" w:cs="仿宋_GB2312"/>
                <w:szCs w:val="24"/>
              </w:rPr>
            </w:pPr>
            <w:r>
              <w:rPr>
                <w:rFonts w:hint="eastAsia" w:ascii="仿宋" w:hAnsi="仿宋" w:cs="仿宋_GB2312"/>
                <w:szCs w:val="24"/>
              </w:rPr>
              <w:t>审核人：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jc w:val="center"/>
        </w:trPr>
        <w:tc>
          <w:tcPr>
            <w:tcW w:w="4779" w:type="dxa"/>
            <w:vAlign w:val="center"/>
          </w:tcPr>
          <w:p>
            <w:pPr>
              <w:snapToGrid w:val="0"/>
              <w:spacing w:before="14" w:line="16" w:lineRule="atLeast"/>
              <w:rPr>
                <w:rFonts w:ascii="仿宋" w:hAnsi="仿宋" w:cs="仿宋_GB2312"/>
                <w:szCs w:val="24"/>
              </w:rPr>
            </w:pPr>
            <w:r>
              <w:rPr>
                <w:rFonts w:hint="eastAsia" w:ascii="仿宋" w:hAnsi="仿宋" w:cs="仿宋_GB2312"/>
                <w:szCs w:val="24"/>
              </w:rPr>
              <w:t>经办人：</w:t>
            </w:r>
          </w:p>
        </w:tc>
        <w:tc>
          <w:tcPr>
            <w:tcW w:w="4614" w:type="dxa"/>
            <w:vAlign w:val="center"/>
          </w:tcPr>
          <w:p>
            <w:pPr>
              <w:snapToGrid w:val="0"/>
              <w:spacing w:before="14" w:line="16" w:lineRule="atLeast"/>
              <w:ind w:left="701" w:leftChars="-1" w:hanging="703" w:hangingChars="293"/>
              <w:rPr>
                <w:rFonts w:ascii="仿宋" w:hAnsi="仿宋" w:cs="仿宋_GB2312"/>
                <w:szCs w:val="24"/>
              </w:rPr>
            </w:pPr>
            <w:r>
              <w:rPr>
                <w:rFonts w:hint="eastAsia" w:ascii="仿宋" w:hAnsi="仿宋" w:cs="仿宋_GB2312"/>
                <w:szCs w:val="24"/>
              </w:rPr>
              <w:t>经办人：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4779" w:type="dxa"/>
            <w:vAlign w:val="center"/>
          </w:tcPr>
          <w:p>
            <w:pPr>
              <w:snapToGrid w:val="0"/>
              <w:spacing w:before="14" w:line="16" w:lineRule="atLeast"/>
              <w:rPr>
                <w:rFonts w:ascii="仿宋" w:hAnsi="仿宋" w:cs="仿宋_GB2312"/>
                <w:szCs w:val="24"/>
              </w:rPr>
            </w:pPr>
            <w:r>
              <w:rPr>
                <w:rFonts w:hint="eastAsia" w:ascii="仿宋" w:hAnsi="仿宋" w:cs="仿宋_GB2312"/>
                <w:szCs w:val="24"/>
              </w:rPr>
              <w:t>联系电话：</w:t>
            </w:r>
          </w:p>
        </w:tc>
        <w:tc>
          <w:tcPr>
            <w:tcW w:w="4614" w:type="dxa"/>
            <w:vAlign w:val="center"/>
          </w:tcPr>
          <w:p>
            <w:pPr>
              <w:snapToGrid w:val="0"/>
              <w:spacing w:before="14" w:line="16" w:lineRule="atLeast"/>
              <w:rPr>
                <w:rFonts w:ascii="仿宋" w:hAnsi="仿宋" w:cs="仿宋_GB2312"/>
                <w:szCs w:val="24"/>
                <w:u w:val="single"/>
              </w:rPr>
            </w:pPr>
            <w:r>
              <w:rPr>
                <w:rFonts w:hint="eastAsia" w:ascii="仿宋" w:hAnsi="仿宋" w:cs="仿宋_GB2312"/>
                <w:szCs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6" w:hRule="atLeast"/>
          <w:jc w:val="center"/>
        </w:trPr>
        <w:tc>
          <w:tcPr>
            <w:tcW w:w="4779" w:type="dxa"/>
            <w:vAlign w:val="center"/>
          </w:tcPr>
          <w:p>
            <w:pPr>
              <w:autoSpaceDE w:val="0"/>
              <w:autoSpaceDN w:val="0"/>
              <w:adjustRightInd w:val="0"/>
              <w:snapToGrid w:val="0"/>
              <w:spacing w:line="16" w:lineRule="atLeast"/>
              <w:rPr>
                <w:rFonts w:ascii="仿宋" w:hAnsi="仿宋" w:cs="仿宋_GB2312"/>
                <w:szCs w:val="24"/>
              </w:rPr>
            </w:pPr>
            <w:r>
              <w:rPr>
                <w:rFonts w:hint="eastAsia" w:ascii="仿宋" w:hAnsi="仿宋" w:cs="仿宋_GB2312"/>
                <w:szCs w:val="24"/>
              </w:rPr>
              <w:t>开户银行：</w:t>
            </w:r>
          </w:p>
        </w:tc>
        <w:tc>
          <w:tcPr>
            <w:tcW w:w="4614" w:type="dxa"/>
            <w:vAlign w:val="center"/>
          </w:tcPr>
          <w:p>
            <w:pPr>
              <w:autoSpaceDE w:val="0"/>
              <w:autoSpaceDN w:val="0"/>
              <w:adjustRightInd w:val="0"/>
              <w:snapToGrid w:val="0"/>
              <w:spacing w:line="16" w:lineRule="atLeast"/>
              <w:rPr>
                <w:rFonts w:ascii="仿宋" w:hAnsi="仿宋" w:cs="仿宋_GB2312"/>
                <w:szCs w:val="24"/>
              </w:rPr>
            </w:pPr>
            <w:r>
              <w:rPr>
                <w:rFonts w:hint="eastAsia" w:ascii="仿宋" w:hAnsi="仿宋" w:cs="仿宋_GB2312"/>
                <w:szCs w:val="24"/>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4779" w:type="dxa"/>
            <w:vAlign w:val="center"/>
          </w:tcPr>
          <w:p>
            <w:pPr>
              <w:autoSpaceDE w:val="0"/>
              <w:autoSpaceDN w:val="0"/>
              <w:adjustRightInd w:val="0"/>
              <w:snapToGrid w:val="0"/>
              <w:spacing w:line="16" w:lineRule="atLeast"/>
              <w:rPr>
                <w:rFonts w:ascii="仿宋" w:hAnsi="仿宋" w:cs="仿宋_GB2312"/>
                <w:szCs w:val="24"/>
              </w:rPr>
            </w:pPr>
            <w:r>
              <w:rPr>
                <w:rFonts w:hint="eastAsia" w:ascii="仿宋" w:hAnsi="仿宋" w:cs="仿宋_GB2312"/>
                <w:szCs w:val="24"/>
              </w:rPr>
              <w:t>账号：</w:t>
            </w:r>
          </w:p>
        </w:tc>
        <w:tc>
          <w:tcPr>
            <w:tcW w:w="4614" w:type="dxa"/>
            <w:vAlign w:val="center"/>
          </w:tcPr>
          <w:p>
            <w:pPr>
              <w:snapToGrid w:val="0"/>
              <w:spacing w:before="14" w:line="16" w:lineRule="atLeast"/>
              <w:rPr>
                <w:rFonts w:ascii="仿宋" w:hAnsi="仿宋" w:cs="仿宋_GB2312"/>
                <w:szCs w:val="24"/>
              </w:rPr>
            </w:pPr>
            <w:r>
              <w:rPr>
                <w:rFonts w:hint="eastAsia" w:ascii="仿宋" w:hAnsi="仿宋" w:cs="仿宋_GB2312"/>
                <w:szCs w:val="24"/>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4779" w:type="dxa"/>
            <w:vAlign w:val="center"/>
          </w:tcPr>
          <w:p>
            <w:pPr>
              <w:autoSpaceDE w:val="0"/>
              <w:autoSpaceDN w:val="0"/>
              <w:adjustRightInd w:val="0"/>
              <w:snapToGrid w:val="0"/>
              <w:spacing w:line="16" w:lineRule="atLeast"/>
              <w:rPr>
                <w:rFonts w:ascii="仿宋" w:hAnsi="仿宋" w:cs="仿宋_GB2312"/>
                <w:szCs w:val="24"/>
              </w:rPr>
            </w:pPr>
            <w:r>
              <w:rPr>
                <w:rFonts w:hint="eastAsia" w:ascii="仿宋" w:hAnsi="仿宋" w:cs="仿宋_GB2312"/>
                <w:szCs w:val="24"/>
              </w:rPr>
              <w:t>纳税人识别号：</w:t>
            </w:r>
          </w:p>
        </w:tc>
        <w:tc>
          <w:tcPr>
            <w:tcW w:w="4614" w:type="dxa"/>
            <w:vAlign w:val="center"/>
          </w:tcPr>
          <w:p>
            <w:pPr>
              <w:snapToGrid w:val="0"/>
              <w:spacing w:before="14" w:line="16" w:lineRule="atLeast"/>
              <w:jc w:val="left"/>
              <w:rPr>
                <w:rFonts w:ascii="仿宋" w:hAnsi="仿宋" w:cs="仿宋_GB2312"/>
                <w:szCs w:val="24"/>
              </w:rPr>
            </w:pPr>
            <w:r>
              <w:rPr>
                <w:rFonts w:hint="eastAsia" w:ascii="仿宋" w:hAnsi="仿宋" w:cs="仿宋_GB2312"/>
                <w:szCs w:val="24"/>
              </w:rPr>
              <w:t>纳税人识别号：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9393" w:type="dxa"/>
            <w:gridSpan w:val="2"/>
            <w:vAlign w:val="center"/>
          </w:tcPr>
          <w:p>
            <w:pPr>
              <w:snapToGrid w:val="0"/>
              <w:spacing w:before="14" w:line="16" w:lineRule="atLeast"/>
              <w:jc w:val="right"/>
              <w:rPr>
                <w:rFonts w:ascii="仿宋" w:hAnsi="仿宋" w:cs="仿宋_GB2312"/>
                <w:szCs w:val="24"/>
              </w:rPr>
            </w:pPr>
            <w:r>
              <w:rPr>
                <w:rFonts w:hint="eastAsia" w:ascii="仿宋" w:hAnsi="仿宋" w:cs="仿宋_GB2312"/>
                <w:szCs w:val="24"/>
              </w:rPr>
              <w:t>签订日期：202 年  月   日</w:t>
            </w:r>
          </w:p>
        </w:tc>
      </w:tr>
    </w:tbl>
    <w:p>
      <w:pPr>
        <w:pStyle w:val="2"/>
        <w:rPr>
          <w:rFonts w:ascii="仿宋" w:hAnsi="仿宋" w:cs="仿宋"/>
        </w:rPr>
      </w:pPr>
    </w:p>
    <w:p>
      <w:pPr>
        <w:pStyle w:val="2"/>
        <w:rPr>
          <w:rFonts w:ascii="仿宋" w:hAnsi="仿宋" w:cs="仿宋"/>
        </w:rPr>
      </w:pPr>
    </w:p>
    <w:p>
      <w:pPr>
        <w:pStyle w:val="2"/>
        <w:rPr>
          <w:rFonts w:ascii="仿宋" w:hAnsi="仿宋" w:cs="仿宋"/>
        </w:rPr>
      </w:pPr>
    </w:p>
    <w:p>
      <w:pPr>
        <w:pStyle w:val="2"/>
        <w:rPr>
          <w:rFonts w:ascii="仿宋" w:hAnsi="仿宋" w:cs="仿宋"/>
        </w:rPr>
      </w:pPr>
    </w:p>
    <w:p>
      <w:pPr>
        <w:pStyle w:val="2"/>
        <w:rPr>
          <w:rFonts w:ascii="仿宋" w:hAnsi="仿宋" w:cs="仿宋"/>
        </w:rPr>
      </w:pPr>
    </w:p>
    <w:p>
      <w:pPr>
        <w:pStyle w:val="2"/>
        <w:rPr>
          <w:rFonts w:ascii="仿宋" w:hAnsi="仿宋" w:cs="仿宋"/>
        </w:rPr>
      </w:pPr>
    </w:p>
    <w:p>
      <w:pPr>
        <w:pStyle w:val="2"/>
        <w:rPr>
          <w:rFonts w:ascii="仿宋" w:hAnsi="仿宋" w:cs="仿宋"/>
        </w:rPr>
      </w:pPr>
    </w:p>
    <w:p/>
    <w:p/>
    <w:p/>
    <w:p/>
    <w:p>
      <w:pPr>
        <w:pStyle w:val="2"/>
        <w:rPr>
          <w:rFonts w:ascii="仿宋" w:hAnsi="仿宋" w:cs="仿宋"/>
        </w:rPr>
      </w:pPr>
      <w:r>
        <w:rPr>
          <w:rFonts w:hint="eastAsia" w:ascii="仿宋" w:hAnsi="仿宋" w:cs="仿宋"/>
        </w:rPr>
        <w:t>第四章 谈判采购响应文件格式</w:t>
      </w:r>
      <w:bookmarkEnd w:id="290"/>
      <w:bookmarkEnd w:id="291"/>
      <w:bookmarkEnd w:id="292"/>
      <w:bookmarkEnd w:id="293"/>
    </w:p>
    <w:p>
      <w:pPr>
        <w:autoSpaceDE w:val="0"/>
        <w:autoSpaceDN w:val="0"/>
        <w:spacing w:line="360" w:lineRule="auto"/>
        <w:contextualSpacing/>
        <w:rPr>
          <w:rFonts w:ascii="仿宋" w:hAnsi="仿宋" w:cs="仿宋"/>
          <w:b/>
          <w:bCs/>
          <w:szCs w:val="24"/>
        </w:rPr>
      </w:pPr>
      <w:bookmarkStart w:id="335" w:name="_Toc42796975"/>
      <w:bookmarkStart w:id="336" w:name="_Toc42782649"/>
      <w:bookmarkStart w:id="337" w:name="_Toc42876261"/>
      <w:bookmarkStart w:id="338" w:name="_Toc466642544"/>
      <w:bookmarkStart w:id="339" w:name="_Toc43103199"/>
      <w:bookmarkStart w:id="340" w:name="_Toc42781912"/>
      <w:bookmarkStart w:id="341" w:name="_Toc42782861"/>
      <w:bookmarkStart w:id="342" w:name="_Toc43111022"/>
      <w:bookmarkStart w:id="343" w:name="_Toc42782947"/>
      <w:bookmarkStart w:id="344" w:name="_Toc43103116"/>
      <w:bookmarkStart w:id="345" w:name="_Toc42941361"/>
      <w:bookmarkStart w:id="346" w:name="_Toc43008946"/>
      <w:bookmarkStart w:id="347" w:name="_Toc41386435"/>
      <w:bookmarkStart w:id="348" w:name="_Toc42965731"/>
      <w:bookmarkStart w:id="349" w:name="_Toc41389862"/>
      <w:bookmarkStart w:id="350" w:name="_Toc41386261"/>
      <w:bookmarkStart w:id="351" w:name="_Toc93204251"/>
      <w:bookmarkStart w:id="352" w:name="_Toc93203689"/>
      <w:bookmarkStart w:id="353" w:name="_Toc42876176"/>
      <w:bookmarkStart w:id="354" w:name="_Toc42941267"/>
    </w:p>
    <w:p>
      <w:pPr>
        <w:spacing w:line="360" w:lineRule="auto"/>
        <w:jc w:val="center"/>
        <w:rPr>
          <w:rFonts w:ascii="仿宋" w:hAnsi="仿宋" w:cs="仿宋"/>
          <w:b/>
          <w:position w:val="-4"/>
          <w:sz w:val="28"/>
          <w:szCs w:val="28"/>
        </w:rPr>
      </w:pPr>
      <w:r>
        <w:rPr>
          <w:rFonts w:hint="eastAsia" w:ascii="仿宋" w:hAnsi="仿宋" w:cs="仿宋"/>
          <w:b/>
          <w:sz w:val="28"/>
          <w:szCs w:val="28"/>
          <w:u w:val="single"/>
        </w:rPr>
        <w:t>（项目名称）</w:t>
      </w:r>
    </w:p>
    <w:p>
      <w:pPr>
        <w:pStyle w:val="6"/>
        <w:spacing w:line="360" w:lineRule="auto"/>
        <w:rPr>
          <w:rFonts w:ascii="仿宋" w:hAnsi="仿宋" w:cs="仿宋"/>
          <w:sz w:val="28"/>
          <w:szCs w:val="28"/>
        </w:rPr>
      </w:pPr>
    </w:p>
    <w:p>
      <w:pPr>
        <w:spacing w:line="360" w:lineRule="auto"/>
        <w:jc w:val="center"/>
        <w:rPr>
          <w:rFonts w:ascii="仿宋" w:hAnsi="仿宋" w:cs="仿宋"/>
          <w:b/>
          <w:position w:val="-4"/>
          <w:sz w:val="28"/>
          <w:szCs w:val="28"/>
        </w:rPr>
      </w:pPr>
    </w:p>
    <w:p>
      <w:pPr>
        <w:spacing w:line="360" w:lineRule="auto"/>
        <w:jc w:val="center"/>
        <w:rPr>
          <w:rFonts w:ascii="仿宋" w:hAnsi="仿宋" w:cs="仿宋"/>
          <w:b/>
          <w:position w:val="-4"/>
          <w:sz w:val="28"/>
          <w:szCs w:val="28"/>
        </w:rPr>
      </w:pPr>
    </w:p>
    <w:p>
      <w:pPr>
        <w:spacing w:line="360" w:lineRule="auto"/>
        <w:jc w:val="center"/>
        <w:rPr>
          <w:rFonts w:ascii="仿宋" w:hAnsi="仿宋" w:cs="仿宋"/>
          <w:b/>
          <w:position w:val="-4"/>
          <w:sz w:val="28"/>
          <w:szCs w:val="28"/>
        </w:rPr>
      </w:pPr>
      <w:r>
        <w:rPr>
          <w:rFonts w:hint="eastAsia" w:ascii="仿宋" w:hAnsi="仿宋" w:cs="仿宋"/>
          <w:b/>
          <w:position w:val="-4"/>
          <w:sz w:val="28"/>
          <w:szCs w:val="28"/>
        </w:rPr>
        <w:t>谈判采购响应文件</w:t>
      </w:r>
    </w:p>
    <w:p>
      <w:pPr>
        <w:spacing w:line="360" w:lineRule="auto"/>
        <w:jc w:val="center"/>
        <w:rPr>
          <w:rFonts w:ascii="仿宋" w:hAnsi="仿宋" w:cs="仿宋"/>
          <w:sz w:val="28"/>
          <w:szCs w:val="28"/>
        </w:rPr>
      </w:pPr>
    </w:p>
    <w:p>
      <w:pPr>
        <w:spacing w:line="360" w:lineRule="auto"/>
        <w:jc w:val="center"/>
        <w:rPr>
          <w:rFonts w:ascii="仿宋" w:hAnsi="仿宋" w:cs="仿宋"/>
          <w:b/>
          <w:bCs/>
          <w:sz w:val="28"/>
          <w:szCs w:val="28"/>
        </w:rPr>
      </w:pPr>
      <w:bookmarkStart w:id="355" w:name="_Toc1681"/>
    </w:p>
    <w:bookmarkEnd w:id="355"/>
    <w:p>
      <w:pPr>
        <w:spacing w:line="360" w:lineRule="auto"/>
        <w:rPr>
          <w:rFonts w:ascii="仿宋" w:hAnsi="仿宋" w:cs="仿宋"/>
          <w:b/>
          <w:color w:val="000000"/>
          <w:sz w:val="28"/>
          <w:szCs w:val="28"/>
        </w:rPr>
      </w:pPr>
    </w:p>
    <w:p>
      <w:pPr>
        <w:spacing w:line="360" w:lineRule="auto"/>
        <w:rPr>
          <w:rFonts w:ascii="仿宋" w:hAnsi="仿宋" w:cs="仿宋"/>
          <w:b/>
          <w:color w:val="000000"/>
          <w:sz w:val="28"/>
          <w:szCs w:val="28"/>
        </w:rPr>
      </w:pPr>
    </w:p>
    <w:p>
      <w:pPr>
        <w:spacing w:line="360" w:lineRule="auto"/>
        <w:rPr>
          <w:rFonts w:ascii="仿宋" w:hAnsi="仿宋" w:cs="仿宋"/>
          <w:b/>
          <w:color w:val="000000"/>
          <w:sz w:val="28"/>
          <w:szCs w:val="28"/>
        </w:rPr>
      </w:pPr>
    </w:p>
    <w:p>
      <w:pPr>
        <w:pStyle w:val="22"/>
        <w:rPr>
          <w:rFonts w:ascii="仿宋" w:hAnsi="仿宋" w:eastAsia="仿宋" w:cs="仿宋"/>
          <w:b/>
          <w:sz w:val="28"/>
          <w:szCs w:val="28"/>
        </w:rPr>
      </w:pPr>
    </w:p>
    <w:p>
      <w:pPr>
        <w:spacing w:line="360" w:lineRule="auto"/>
        <w:rPr>
          <w:rFonts w:ascii="仿宋" w:hAnsi="仿宋" w:cs="仿宋"/>
          <w:b/>
          <w:color w:val="000000"/>
          <w:sz w:val="28"/>
          <w:szCs w:val="28"/>
        </w:rPr>
      </w:pPr>
    </w:p>
    <w:p>
      <w:pPr>
        <w:spacing w:line="360" w:lineRule="auto"/>
        <w:rPr>
          <w:rFonts w:ascii="仿宋" w:hAnsi="仿宋" w:cs="仿宋"/>
          <w:b/>
          <w:color w:val="000000"/>
          <w:sz w:val="28"/>
          <w:szCs w:val="28"/>
        </w:rPr>
      </w:pPr>
      <w:r>
        <w:rPr>
          <w:rFonts w:hint="eastAsia" w:ascii="仿宋" w:hAnsi="仿宋" w:cs="仿宋"/>
          <w:b/>
          <w:color w:val="000000"/>
          <w:sz w:val="28"/>
          <w:szCs w:val="28"/>
        </w:rPr>
        <w:t>供应商全称（盖单位公章）：</w:t>
      </w:r>
    </w:p>
    <w:p>
      <w:pPr>
        <w:spacing w:line="360" w:lineRule="auto"/>
        <w:rPr>
          <w:rFonts w:ascii="仿宋" w:hAnsi="仿宋" w:cs="仿宋"/>
          <w:b/>
          <w:color w:val="000000"/>
          <w:sz w:val="28"/>
          <w:szCs w:val="28"/>
        </w:rPr>
      </w:pPr>
      <w:bookmarkStart w:id="356" w:name="_Toc29830"/>
      <w:bookmarkStart w:id="357" w:name="_Toc14466"/>
      <w:bookmarkStart w:id="358" w:name="_Toc32433"/>
      <w:bookmarkStart w:id="359" w:name="_Toc28043"/>
      <w:bookmarkStart w:id="360" w:name="_Toc24168"/>
      <w:bookmarkStart w:id="361" w:name="_Toc13989"/>
      <w:bookmarkStart w:id="362" w:name="_Toc31682"/>
      <w:r>
        <w:rPr>
          <w:rFonts w:hint="eastAsia" w:ascii="仿宋" w:hAnsi="仿宋" w:cs="仿宋"/>
          <w:b/>
          <w:color w:val="000000"/>
          <w:sz w:val="28"/>
          <w:szCs w:val="28"/>
        </w:rPr>
        <w:t>法定代表人或委托代理人（</w:t>
      </w:r>
      <w:r>
        <w:rPr>
          <w:rFonts w:hint="eastAsia" w:ascii="仿宋" w:hAnsi="仿宋" w:cs="仿宋"/>
          <w:b/>
          <w:bCs/>
          <w:sz w:val="28"/>
          <w:szCs w:val="28"/>
        </w:rPr>
        <w:t>签字或盖章</w:t>
      </w:r>
      <w:r>
        <w:rPr>
          <w:rFonts w:hint="eastAsia" w:ascii="仿宋" w:hAnsi="仿宋" w:cs="仿宋"/>
          <w:b/>
          <w:color w:val="000000"/>
          <w:sz w:val="28"/>
          <w:szCs w:val="28"/>
        </w:rPr>
        <w:t>）：</w:t>
      </w:r>
      <w:bookmarkEnd w:id="356"/>
      <w:bookmarkEnd w:id="357"/>
      <w:bookmarkEnd w:id="358"/>
      <w:bookmarkEnd w:id="359"/>
      <w:bookmarkEnd w:id="360"/>
      <w:bookmarkEnd w:id="361"/>
      <w:bookmarkEnd w:id="362"/>
    </w:p>
    <w:p>
      <w:pPr>
        <w:spacing w:line="360" w:lineRule="auto"/>
        <w:contextualSpacing/>
        <w:rPr>
          <w:rFonts w:ascii="仿宋" w:hAnsi="仿宋" w:cs="仿宋"/>
          <w:b/>
          <w:sz w:val="28"/>
          <w:szCs w:val="28"/>
        </w:rPr>
      </w:pPr>
      <w:r>
        <w:rPr>
          <w:rFonts w:hint="eastAsia" w:ascii="仿宋" w:hAnsi="仿宋" w:cs="仿宋"/>
          <w:b/>
          <w:color w:val="000000"/>
          <w:sz w:val="28"/>
          <w:szCs w:val="28"/>
        </w:rPr>
        <w:t>日    期：年 月 日</w:t>
      </w:r>
      <w:r>
        <w:rPr>
          <w:rFonts w:hint="eastAsia" w:ascii="仿宋" w:hAnsi="仿宋" w:cs="仿宋"/>
          <w:sz w:val="28"/>
          <w:szCs w:val="28"/>
        </w:rPr>
        <w:br w:type="page"/>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pPr>
        <w:spacing w:line="360" w:lineRule="auto"/>
        <w:jc w:val="center"/>
        <w:rPr>
          <w:rFonts w:ascii="仿宋" w:hAnsi="仿宋" w:cs="仿宋"/>
          <w:b/>
          <w:bCs/>
          <w:sz w:val="32"/>
          <w:szCs w:val="28"/>
        </w:rPr>
      </w:pPr>
      <w:r>
        <w:rPr>
          <w:rFonts w:hint="eastAsia" w:ascii="仿宋" w:hAnsi="仿宋" w:cs="仿宋"/>
          <w:b/>
          <w:bCs/>
          <w:sz w:val="32"/>
          <w:szCs w:val="28"/>
        </w:rPr>
        <w:t>一、报价一览表</w:t>
      </w:r>
    </w:p>
    <w:p>
      <w:pPr>
        <w:jc w:val="left"/>
        <w:rPr>
          <w:rFonts w:ascii="仿宋" w:hAnsi="仿宋" w:cs="仿宋"/>
          <w:bCs/>
          <w:szCs w:val="24"/>
        </w:rPr>
      </w:pPr>
      <w:r>
        <w:rPr>
          <w:rFonts w:hint="eastAsia" w:ascii="仿宋" w:hAnsi="仿宋" w:cs="仿宋"/>
          <w:bCs/>
          <w:szCs w:val="24"/>
        </w:rPr>
        <w:t xml:space="preserve">   项目名称：云南昆钢资产经营有限公司及托管单位2026年-2027年电力市场化交易服务项目</w:t>
      </w:r>
    </w:p>
    <w:tbl>
      <w:tblPr>
        <w:tblStyle w:val="16"/>
        <w:tblW w:w="89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06"/>
        <w:gridCol w:w="1418"/>
        <w:gridCol w:w="2088"/>
        <w:gridCol w:w="1985"/>
        <w:gridCol w:w="1948"/>
        <w:gridCol w:w="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929"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szCs w:val="24"/>
              </w:rPr>
            </w:pPr>
            <w:bookmarkStart w:id="363" w:name="_Toc31375"/>
            <w:bookmarkStart w:id="364" w:name="_Toc15556"/>
            <w:bookmarkStart w:id="365" w:name="_Toc25087"/>
            <w:bookmarkStart w:id="366" w:name="_Toc13116"/>
            <w:bookmarkStart w:id="367" w:name="_Toc17138"/>
            <w:bookmarkStart w:id="368" w:name="_Toc3165"/>
            <w:bookmarkStart w:id="369" w:name="_Toc7888"/>
            <w:r>
              <w:rPr>
                <w:rFonts w:hint="eastAsia" w:ascii="仿宋" w:hAnsi="仿宋" w:cs="仿宋_GB2312"/>
                <w:kern w:val="0"/>
                <w:szCs w:val="24"/>
              </w:rPr>
              <w:t>月份</w:t>
            </w:r>
          </w:p>
        </w:tc>
        <w:tc>
          <w:tcPr>
            <w:tcW w:w="141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kern w:val="0"/>
                <w:szCs w:val="24"/>
              </w:rPr>
              <w:t>用电户号</w:t>
            </w: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kern w:val="0"/>
                <w:szCs w:val="24"/>
              </w:rPr>
              <w:t>年度（分月）预估交易电量（万kWh</w:t>
            </w:r>
            <w:r>
              <w:rPr>
                <w:rStyle w:val="36"/>
                <w:rFonts w:hint="default" w:ascii="仿宋" w:hAnsi="仿宋" w:eastAsia="仿宋" w:cs="仿宋_GB2312"/>
              </w:rPr>
              <w:t>）</w:t>
            </w:r>
          </w:p>
        </w:tc>
        <w:tc>
          <w:tcPr>
            <w:tcW w:w="1985"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非现货电量交易单价（元/kWh）</w:t>
            </w:r>
          </w:p>
        </w:tc>
        <w:tc>
          <w:tcPr>
            <w:tcW w:w="1948" w:type="dxa"/>
            <w:vAlign w:val="center"/>
          </w:tcPr>
          <w:p>
            <w:pPr>
              <w:widowControl/>
              <w:snapToGrid w:val="0"/>
              <w:textAlignment w:val="center"/>
              <w:rPr>
                <w:rFonts w:ascii="仿宋" w:hAnsi="仿宋" w:cs="仿宋_GB2312"/>
                <w:kern w:val="0"/>
                <w:szCs w:val="24"/>
              </w:rPr>
            </w:pPr>
            <w:r>
              <w:rPr>
                <w:rFonts w:hint="eastAsia" w:ascii="仿宋" w:hAnsi="仿宋" w:cs="仿宋_GB2312"/>
                <w:kern w:val="0"/>
                <w:szCs w:val="24"/>
              </w:rPr>
              <w:t>现货电量交易单价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2026年9月</w:t>
            </w:r>
          </w:p>
        </w:tc>
        <w:tc>
          <w:tcPr>
            <w:tcW w:w="1418" w:type="dxa"/>
            <w:vMerge w:val="restart"/>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vMerge w:val="restart"/>
            <w:vAlign w:val="center"/>
          </w:tcPr>
          <w:p>
            <w:pPr>
              <w:widowControl/>
              <w:snapToGrid w:val="0"/>
              <w:textAlignment w:val="center"/>
              <w:rPr>
                <w:rFonts w:ascii="仿宋" w:hAnsi="仿宋" w:cs="仿宋_GB2312"/>
                <w:kern w:val="0"/>
                <w:szCs w:val="24"/>
              </w:rPr>
            </w:pPr>
            <w:r>
              <w:rPr>
                <w:rFonts w:hint="eastAsia" w:ascii="仿宋" w:hAnsi="仿宋" w:cs="仿宋_GB2312"/>
                <w:kern w:val="0"/>
                <w:szCs w:val="24"/>
              </w:rPr>
              <w:t>每月以市场基准价（日前用户侧综合价格）为准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2026年10月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2026年11月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530</w:t>
            </w: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2026年12月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530</w:t>
            </w: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540</w:t>
            </w:r>
          </w:p>
        </w:tc>
        <w:tc>
          <w:tcPr>
            <w:tcW w:w="1985" w:type="dxa"/>
            <w:noWrap/>
            <w:tcMar>
              <w:top w:w="15" w:type="dxa"/>
              <w:left w:w="15" w:type="dxa"/>
              <w:right w:w="15" w:type="dxa"/>
            </w:tcMar>
            <w:vAlign w:val="center"/>
          </w:tcPr>
          <w:p>
            <w:pPr>
              <w:widowControl/>
              <w:snapToGrid w:val="0"/>
              <w:textAlignment w:val="center"/>
              <w:rPr>
                <w:rFonts w:ascii="仿宋" w:hAnsi="仿宋" w:cs="仿宋_GB2312"/>
                <w:kern w:val="0"/>
                <w:szCs w:val="24"/>
              </w:rPr>
            </w:pPr>
          </w:p>
        </w:tc>
        <w:tc>
          <w:tcPr>
            <w:tcW w:w="1948" w:type="dxa"/>
            <w:vMerge w:val="continue"/>
          </w:tcPr>
          <w:p>
            <w:pPr>
              <w:widowControl/>
              <w:snapToGrid w:val="0"/>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2027年2月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520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2027年3月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500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2027年4月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2027年5月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2027年6月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2027年7月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2027年8月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2027年9月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2027年10月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480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01"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2027年11月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530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136" w:hRule="atLeast"/>
          <w:jc w:val="center"/>
        </w:trPr>
        <w:tc>
          <w:tcPr>
            <w:tcW w:w="1506" w:type="dxa"/>
            <w:tcMar>
              <w:top w:w="15" w:type="dxa"/>
              <w:left w:w="15" w:type="dxa"/>
              <w:right w:w="15" w:type="dxa"/>
            </w:tcMar>
            <w:vAlign w:val="center"/>
          </w:tcPr>
          <w:p>
            <w:pPr>
              <w:widowControl/>
              <w:snapToGrid w:val="0"/>
              <w:jc w:val="center"/>
              <w:textAlignment w:val="center"/>
              <w:rPr>
                <w:rFonts w:ascii="仿宋" w:hAnsi="仿宋" w:cs="仿宋_GB2312"/>
                <w:kern w:val="0"/>
                <w:szCs w:val="24"/>
              </w:rPr>
            </w:pPr>
            <w:r>
              <w:rPr>
                <w:rFonts w:hint="eastAsia" w:ascii="仿宋" w:hAnsi="仿宋" w:cs="仿宋_GB2312"/>
                <w:kern w:val="0"/>
                <w:szCs w:val="24"/>
              </w:rPr>
              <w:t>2027年12月</w:t>
            </w:r>
          </w:p>
        </w:tc>
        <w:tc>
          <w:tcPr>
            <w:tcW w:w="1418" w:type="dxa"/>
            <w:vMerge w:val="continue"/>
            <w:tcMar>
              <w:top w:w="15" w:type="dxa"/>
              <w:left w:w="15" w:type="dxa"/>
              <w:right w:w="15" w:type="dxa"/>
            </w:tcMar>
            <w:vAlign w:val="center"/>
          </w:tcPr>
          <w:p>
            <w:pPr>
              <w:widowControl/>
              <w:snapToGrid w:val="0"/>
              <w:jc w:val="center"/>
              <w:textAlignment w:val="center"/>
              <w:rPr>
                <w:rFonts w:ascii="仿宋" w:hAnsi="仿宋" w:cs="仿宋_GB2312"/>
                <w:szCs w:val="24"/>
              </w:rPr>
            </w:pP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530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36" w:type="dxa"/>
          <w:trHeight w:val="396" w:hRule="atLeast"/>
          <w:jc w:val="center"/>
        </w:trPr>
        <w:tc>
          <w:tcPr>
            <w:tcW w:w="2924" w:type="dxa"/>
            <w:gridSpan w:val="2"/>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kern w:val="0"/>
                <w:szCs w:val="24"/>
              </w:rPr>
              <w:t>全年合计</w:t>
            </w:r>
          </w:p>
        </w:tc>
        <w:tc>
          <w:tcPr>
            <w:tcW w:w="2088" w:type="dxa"/>
            <w:tcMar>
              <w:top w:w="15" w:type="dxa"/>
              <w:left w:w="15" w:type="dxa"/>
              <w:right w:w="15" w:type="dxa"/>
            </w:tcMar>
            <w:vAlign w:val="center"/>
          </w:tcPr>
          <w:p>
            <w:pPr>
              <w:widowControl/>
              <w:snapToGrid w:val="0"/>
              <w:jc w:val="center"/>
              <w:textAlignment w:val="center"/>
              <w:rPr>
                <w:rFonts w:ascii="仿宋" w:hAnsi="仿宋" w:cs="仿宋_GB2312"/>
                <w:szCs w:val="24"/>
              </w:rPr>
            </w:pPr>
            <w:r>
              <w:rPr>
                <w:rFonts w:hint="eastAsia" w:ascii="仿宋" w:hAnsi="仿宋" w:cs="仿宋_GB2312"/>
                <w:szCs w:val="24"/>
              </w:rPr>
              <w:t>8000</w:t>
            </w:r>
          </w:p>
        </w:tc>
        <w:tc>
          <w:tcPr>
            <w:tcW w:w="1985" w:type="dxa"/>
            <w:noWrap/>
            <w:tcMar>
              <w:top w:w="15" w:type="dxa"/>
              <w:left w:w="15" w:type="dxa"/>
              <w:right w:w="15" w:type="dxa"/>
            </w:tcMar>
            <w:vAlign w:val="center"/>
          </w:tcPr>
          <w:p>
            <w:pPr>
              <w:widowControl/>
              <w:snapToGrid w:val="0"/>
              <w:jc w:val="center"/>
              <w:textAlignment w:val="center"/>
              <w:rPr>
                <w:rFonts w:ascii="仿宋" w:hAnsi="仿宋" w:cs="仿宋_GB2312"/>
                <w:kern w:val="0"/>
                <w:szCs w:val="24"/>
              </w:rPr>
            </w:pPr>
          </w:p>
        </w:tc>
        <w:tc>
          <w:tcPr>
            <w:tcW w:w="1948" w:type="dxa"/>
            <w:vMerge w:val="continue"/>
          </w:tcPr>
          <w:p>
            <w:pPr>
              <w:widowControl/>
              <w:snapToGrid w:val="0"/>
              <w:jc w:val="center"/>
              <w:textAlignment w:val="center"/>
              <w:rPr>
                <w:rFonts w:ascii="仿宋" w:hAnsi="仿宋" w:cs="仿宋_GB2312"/>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65" w:hRule="atLeast"/>
          <w:jc w:val="center"/>
        </w:trPr>
        <w:tc>
          <w:tcPr>
            <w:tcW w:w="1506" w:type="dxa"/>
            <w:tcMar>
              <w:top w:w="15" w:type="dxa"/>
              <w:left w:w="15" w:type="dxa"/>
              <w:right w:w="15" w:type="dxa"/>
            </w:tcMar>
            <w:vAlign w:val="center"/>
          </w:tcPr>
          <w:p>
            <w:pPr>
              <w:snapToGrid w:val="0"/>
              <w:jc w:val="center"/>
              <w:rPr>
                <w:rFonts w:ascii="仿宋" w:hAnsi="仿宋" w:cs="仿宋_GB2312"/>
                <w:szCs w:val="24"/>
              </w:rPr>
            </w:pPr>
            <w:r>
              <w:rPr>
                <w:rFonts w:hint="eastAsia" w:ascii="仿宋" w:hAnsi="仿宋" w:cs="仿宋_GB2312"/>
                <w:szCs w:val="24"/>
              </w:rPr>
              <w:t>备注</w:t>
            </w:r>
          </w:p>
          <w:p>
            <w:pPr>
              <w:snapToGrid w:val="0"/>
              <w:jc w:val="left"/>
              <w:rPr>
                <w:rFonts w:ascii="仿宋" w:hAnsi="仿宋" w:cs="仿宋_GB2312"/>
                <w:color w:val="000000"/>
                <w:position w:val="-36"/>
                <w:szCs w:val="24"/>
              </w:rPr>
            </w:pPr>
          </w:p>
        </w:tc>
        <w:tc>
          <w:tcPr>
            <w:tcW w:w="7475" w:type="dxa"/>
            <w:gridSpan w:val="5"/>
            <w:tcMar>
              <w:top w:w="15" w:type="dxa"/>
              <w:left w:w="15" w:type="dxa"/>
              <w:right w:w="15" w:type="dxa"/>
            </w:tcMar>
            <w:vAlign w:val="center"/>
          </w:tcPr>
          <w:p>
            <w:pPr>
              <w:tabs>
                <w:tab w:val="left" w:pos="312"/>
              </w:tabs>
              <w:snapToGrid w:val="0"/>
              <w:spacing w:line="240" w:lineRule="atLeast"/>
              <w:jc w:val="left"/>
              <w:rPr>
                <w:rFonts w:ascii="仿宋" w:hAnsi="仿宋" w:cs="仿宋_GB2312"/>
                <w:position w:val="-36"/>
                <w:szCs w:val="24"/>
              </w:rPr>
            </w:pPr>
            <w:r>
              <w:rPr>
                <w:rFonts w:hint="eastAsia" w:ascii="仿宋" w:hAnsi="仿宋" w:cs="仿宋_GB2312"/>
                <w:position w:val="-36"/>
                <w:szCs w:val="24"/>
              </w:rPr>
              <w:t>1.若</w:t>
            </w:r>
            <w:r>
              <w:rPr>
                <w:rFonts w:hint="eastAsia" w:ascii="仿宋" w:hAnsi="仿宋" w:cs="仿宋_GB2312"/>
                <w:color w:val="000000"/>
                <w:position w:val="-36"/>
                <w:szCs w:val="24"/>
              </w:rPr>
              <w:t>云南省发改委对政策进行调整时，则随新下发的文件随之调整，若调整导致采购成本下降，结算单价应相应下调，下调部分直接体现在次月电费账单中。</w:t>
            </w:r>
          </w:p>
          <w:p>
            <w:pPr>
              <w:tabs>
                <w:tab w:val="left" w:pos="312"/>
              </w:tabs>
              <w:snapToGrid w:val="0"/>
              <w:spacing w:line="240" w:lineRule="atLeast"/>
              <w:jc w:val="left"/>
              <w:rPr>
                <w:rFonts w:ascii="仿宋" w:hAnsi="仿宋" w:cs="仿宋_GB2312"/>
                <w:position w:val="-36"/>
                <w:szCs w:val="24"/>
              </w:rPr>
            </w:pPr>
            <w:r>
              <w:rPr>
                <w:rFonts w:hint="eastAsia" w:ascii="仿宋" w:hAnsi="仿宋" w:cs="仿宋_GB2312"/>
                <w:color w:val="000000"/>
                <w:position w:val="-36"/>
                <w:szCs w:val="24"/>
              </w:rPr>
              <w:t>2.不含相应电压等级输配电价、政府性基金及附加、上网环节线损电费、调整电费、基本电费及系统运行费（燃煤容量电费分摊、新能源补偿电费分摊、居民农业损益、分时损益分摊、需求响应分摊）等政府性收取费用。输配电价标准执行《关于第四监管周期省级电网输配电价及有关事项的通知》（发改价格〔2026〕1077号）。若云南省发改委对政策进行调整时，则根据新下发的文件随之调整。</w:t>
            </w:r>
          </w:p>
        </w:tc>
      </w:tr>
    </w:tbl>
    <w:p>
      <w:pPr>
        <w:spacing w:line="400" w:lineRule="exact"/>
        <w:rPr>
          <w:rFonts w:ascii="仿宋" w:hAnsi="仿宋" w:cs="仿宋"/>
          <w:bCs/>
          <w:color w:val="000000"/>
          <w:szCs w:val="24"/>
        </w:rPr>
      </w:pPr>
    </w:p>
    <w:p>
      <w:pPr>
        <w:spacing w:line="400" w:lineRule="exact"/>
        <w:rPr>
          <w:rFonts w:ascii="仿宋" w:hAnsi="仿宋" w:cs="仿宋"/>
          <w:bCs/>
          <w:color w:val="000000"/>
          <w:szCs w:val="24"/>
        </w:rPr>
      </w:pPr>
      <w:r>
        <w:rPr>
          <w:rFonts w:hint="eastAsia" w:ascii="仿宋" w:hAnsi="仿宋" w:cs="仿宋"/>
          <w:bCs/>
          <w:color w:val="000000"/>
          <w:szCs w:val="24"/>
        </w:rPr>
        <w:t>注：此表格式不得修改。</w:t>
      </w:r>
    </w:p>
    <w:p>
      <w:pPr>
        <w:spacing w:line="400" w:lineRule="exact"/>
        <w:rPr>
          <w:rFonts w:ascii="仿宋" w:hAnsi="仿宋" w:cs="仿宋"/>
          <w:bCs/>
          <w:color w:val="000000"/>
          <w:szCs w:val="24"/>
        </w:rPr>
      </w:pPr>
      <w:r>
        <w:rPr>
          <w:rFonts w:hint="eastAsia" w:ascii="仿宋" w:hAnsi="仿宋" w:cs="仿宋"/>
          <w:bCs/>
          <w:color w:val="000000"/>
          <w:szCs w:val="24"/>
        </w:rPr>
        <w:t>供应商全称（盖单位公章）：</w:t>
      </w:r>
    </w:p>
    <w:p>
      <w:pPr>
        <w:spacing w:line="400" w:lineRule="exact"/>
        <w:rPr>
          <w:rFonts w:ascii="仿宋" w:hAnsi="仿宋" w:cs="仿宋"/>
          <w:bCs/>
          <w:color w:val="000000"/>
          <w:szCs w:val="24"/>
        </w:rPr>
      </w:pPr>
      <w:r>
        <w:rPr>
          <w:rFonts w:hint="eastAsia" w:ascii="仿宋" w:hAnsi="仿宋" w:cs="仿宋"/>
          <w:bCs/>
          <w:color w:val="000000"/>
          <w:szCs w:val="24"/>
        </w:rPr>
        <w:t>法定代表人或委托代理人（</w:t>
      </w:r>
      <w:r>
        <w:rPr>
          <w:rFonts w:hint="eastAsia" w:ascii="仿宋" w:hAnsi="仿宋" w:cs="仿宋"/>
          <w:bCs/>
          <w:szCs w:val="24"/>
        </w:rPr>
        <w:t>签字或盖章</w:t>
      </w:r>
      <w:r>
        <w:rPr>
          <w:rFonts w:hint="eastAsia" w:ascii="仿宋" w:hAnsi="仿宋" w:cs="仿宋"/>
          <w:bCs/>
          <w:color w:val="000000"/>
          <w:szCs w:val="24"/>
        </w:rPr>
        <w:t xml:space="preserve">）：                </w:t>
      </w:r>
      <w:r>
        <w:rPr>
          <w:rFonts w:hint="eastAsia"/>
        </w:rPr>
        <w:t>日期：   年   月   日</w:t>
      </w:r>
    </w:p>
    <w:p>
      <w:pPr>
        <w:pStyle w:val="3"/>
      </w:pPr>
      <w:r>
        <w:rPr>
          <w:rFonts w:hint="eastAsia"/>
        </w:rPr>
        <w:br w:type="page"/>
      </w:r>
      <w:bookmarkEnd w:id="363"/>
      <w:bookmarkEnd w:id="364"/>
      <w:bookmarkEnd w:id="365"/>
      <w:bookmarkEnd w:id="366"/>
      <w:bookmarkEnd w:id="367"/>
      <w:bookmarkEnd w:id="368"/>
      <w:bookmarkEnd w:id="369"/>
      <w:bookmarkStart w:id="370" w:name="_Toc28040"/>
      <w:bookmarkStart w:id="371" w:name="_Toc13022"/>
      <w:bookmarkStart w:id="372" w:name="_Toc32571"/>
      <w:bookmarkStart w:id="373" w:name="_Toc15755"/>
      <w:bookmarkStart w:id="374" w:name="_Toc10597"/>
      <w:bookmarkStart w:id="375" w:name="_Toc31797"/>
      <w:bookmarkStart w:id="376" w:name="_Toc20983"/>
      <w:r>
        <w:rPr>
          <w:rFonts w:hint="eastAsia"/>
        </w:rPr>
        <w:t>二、提供在中国境内成立的法人或者其他组织的营业执照</w:t>
      </w:r>
      <w:bookmarkEnd w:id="370"/>
      <w:bookmarkEnd w:id="371"/>
      <w:bookmarkEnd w:id="372"/>
      <w:bookmarkEnd w:id="373"/>
      <w:bookmarkEnd w:id="374"/>
      <w:bookmarkEnd w:id="375"/>
      <w:bookmarkEnd w:id="376"/>
    </w:p>
    <w:p>
      <w:pPr>
        <w:pStyle w:val="3"/>
      </w:pPr>
    </w:p>
    <w:p>
      <w:pPr>
        <w:pStyle w:val="3"/>
      </w:pPr>
    </w:p>
    <w:p>
      <w:pPr>
        <w:pStyle w:val="3"/>
      </w:pPr>
    </w:p>
    <w:p>
      <w:pPr>
        <w:pStyle w:val="3"/>
      </w:pPr>
    </w:p>
    <w:p>
      <w:pPr>
        <w:pStyle w:val="3"/>
      </w:pPr>
      <w:r>
        <w:rPr>
          <w:rFonts w:hint="eastAsia"/>
        </w:rPr>
        <w:t>三、供应商具备云南省电力市场化交易资格，且属于昆明电力交易中心公布售电公司名单范围内</w:t>
      </w:r>
    </w:p>
    <w:p>
      <w:pPr>
        <w:pStyle w:val="3"/>
      </w:pPr>
    </w:p>
    <w:p>
      <w:pPr>
        <w:pStyle w:val="3"/>
      </w:pPr>
    </w:p>
    <w:p>
      <w:pPr>
        <w:pStyle w:val="3"/>
      </w:pPr>
    </w:p>
    <w:p>
      <w:pPr>
        <w:pStyle w:val="3"/>
      </w:pPr>
      <w:r>
        <w:rPr>
          <w:rFonts w:hint="eastAsia"/>
        </w:rPr>
        <w:t>四、供应商未被国家企业信用信息公示系统（www.gsxt.gov.cn）和“信用中国”网站（www.creditchina.gov.cn)列入严重违法失信企业、失信被执行人名单、未被昆明电力交易中心列入失信行为曝光名单</w:t>
      </w:r>
    </w:p>
    <w:p>
      <w:pPr>
        <w:pStyle w:val="3"/>
      </w:pPr>
    </w:p>
    <w:p>
      <w:pPr>
        <w:pStyle w:val="3"/>
      </w:pPr>
    </w:p>
    <w:p>
      <w:pPr>
        <w:pStyle w:val="3"/>
      </w:pPr>
    </w:p>
    <w:p>
      <w:pPr>
        <w:pStyle w:val="3"/>
      </w:pPr>
    </w:p>
    <w:p>
      <w:pPr>
        <w:pStyle w:val="3"/>
      </w:pPr>
    </w:p>
    <w:p>
      <w:pPr>
        <w:pStyle w:val="3"/>
      </w:pPr>
      <w:r>
        <w:rPr>
          <w:rFonts w:hint="eastAsia"/>
        </w:rPr>
        <w:t>五、供应商人员配备具有中国电力企业联合会颁发的电力行业职业能力证书（电力交易员高级）</w:t>
      </w:r>
    </w:p>
    <w:p>
      <w:pPr>
        <w:pStyle w:val="3"/>
      </w:pPr>
    </w:p>
    <w:p>
      <w:pPr>
        <w:pStyle w:val="3"/>
      </w:pPr>
    </w:p>
    <w:p>
      <w:pPr>
        <w:pStyle w:val="3"/>
      </w:pPr>
    </w:p>
    <w:p>
      <w:pPr>
        <w:pStyle w:val="3"/>
      </w:pPr>
      <w:r>
        <w:rPr>
          <w:rFonts w:hint="eastAsia"/>
        </w:rPr>
        <w:t>六、提供售电公司能±100%承担参与电力市场交易的偏差电量承诺书</w:t>
      </w:r>
    </w:p>
    <w:p>
      <w:pPr>
        <w:pStyle w:val="3"/>
      </w:pPr>
    </w:p>
    <w:p>
      <w:pPr>
        <w:pStyle w:val="3"/>
      </w:pPr>
    </w:p>
    <w:p>
      <w:pPr>
        <w:pStyle w:val="3"/>
      </w:pPr>
    </w:p>
    <w:p>
      <w:pPr>
        <w:pStyle w:val="3"/>
      </w:pPr>
      <w:r>
        <w:rPr>
          <w:rFonts w:hint="eastAsia"/>
        </w:rPr>
        <w:t>七、提供在昆明电力交易中心年度银行履约保函（保险）的证明材料</w:t>
      </w:r>
    </w:p>
    <w:p>
      <w:pPr>
        <w:pStyle w:val="3"/>
      </w:pPr>
    </w:p>
    <w:p/>
    <w:p/>
    <w:p/>
    <w:p/>
    <w:p>
      <w:pPr>
        <w:pStyle w:val="3"/>
      </w:pPr>
      <w:r>
        <w:rPr>
          <w:rFonts w:hint="eastAsia"/>
        </w:rPr>
        <w:t>八、供应商具有良好的财务状况，具备（2023年、2024年、2025年）的财务报表或审计报告（2023年以后成立的公司，则需提供其企业成立至今的财务报表或审计报告；成立不足一年的，提供财务状况良好的承诺书）</w:t>
      </w:r>
    </w:p>
    <w:p>
      <w:pPr>
        <w:pStyle w:val="3"/>
      </w:pPr>
      <w:bookmarkStart w:id="377" w:name="_Toc17149"/>
      <w:bookmarkStart w:id="378" w:name="_Toc13612"/>
      <w:r>
        <w:rPr>
          <w:rFonts w:hint="eastAsia"/>
        </w:rPr>
        <w:t xml:space="preserve">                          </w:t>
      </w:r>
    </w:p>
    <w:p>
      <w:pPr>
        <w:pStyle w:val="3"/>
      </w:pPr>
    </w:p>
    <w:p>
      <w:pPr>
        <w:pStyle w:val="3"/>
      </w:pPr>
    </w:p>
    <w:p>
      <w:pPr>
        <w:pStyle w:val="3"/>
      </w:pPr>
    </w:p>
    <w:p>
      <w:pPr>
        <w:pStyle w:val="3"/>
      </w:pPr>
    </w:p>
    <w:p>
      <w:pPr>
        <w:pStyle w:val="3"/>
      </w:pPr>
    </w:p>
    <w:p/>
    <w:p/>
    <w:p/>
    <w:p/>
    <w:p/>
    <w:p/>
    <w:p/>
    <w:p/>
    <w:p/>
    <w:p/>
    <w:p/>
    <w:p/>
    <w:p>
      <w:pPr>
        <w:pStyle w:val="3"/>
      </w:pPr>
    </w:p>
    <w:p>
      <w:pPr>
        <w:pStyle w:val="3"/>
      </w:pPr>
    </w:p>
    <w:p>
      <w:pPr>
        <w:pStyle w:val="3"/>
      </w:pPr>
    </w:p>
    <w:p/>
    <w:p/>
    <w:p/>
    <w:p>
      <w:pPr>
        <w:pStyle w:val="3"/>
      </w:pPr>
      <w:r>
        <w:rPr>
          <w:rFonts w:hint="eastAsia"/>
        </w:rPr>
        <w:t>九、转让、分包承诺书</w:t>
      </w:r>
      <w:bookmarkEnd w:id="377"/>
      <w:bookmarkEnd w:id="378"/>
    </w:p>
    <w:p>
      <w:pPr>
        <w:pStyle w:val="8"/>
        <w:spacing w:line="360" w:lineRule="auto"/>
        <w:jc w:val="center"/>
        <w:rPr>
          <w:rFonts w:ascii="仿宋" w:hAnsi="仿宋" w:cs="仿宋"/>
          <w:sz w:val="28"/>
          <w:szCs w:val="24"/>
        </w:rPr>
      </w:pPr>
      <w:r>
        <w:rPr>
          <w:rFonts w:hint="eastAsia" w:ascii="仿宋" w:hAnsi="仿宋" w:cs="仿宋"/>
          <w:sz w:val="28"/>
          <w:szCs w:val="24"/>
        </w:rPr>
        <w:t>（</w:t>
      </w:r>
      <w:r>
        <w:rPr>
          <w:rFonts w:hint="eastAsia" w:ascii="仿宋" w:hAnsi="仿宋" w:cs="仿宋"/>
          <w:b/>
          <w:sz w:val="28"/>
          <w:szCs w:val="24"/>
          <w:u w:val="single"/>
        </w:rPr>
        <w:t>格式自拟，供应商须承诺成交后不得将该项目转让、分包给其它任何公司</w:t>
      </w:r>
      <w:r>
        <w:rPr>
          <w:rFonts w:hint="eastAsia" w:ascii="仿宋" w:hAnsi="仿宋" w:cs="仿宋"/>
          <w:b/>
          <w:sz w:val="28"/>
          <w:szCs w:val="24"/>
        </w:rPr>
        <w:t>。</w:t>
      </w:r>
      <w:r>
        <w:rPr>
          <w:rFonts w:hint="eastAsia" w:ascii="仿宋" w:hAnsi="仿宋" w:cs="仿宋"/>
          <w:sz w:val="28"/>
          <w:szCs w:val="24"/>
        </w:rPr>
        <w:t>）</w:t>
      </w:r>
    </w:p>
    <w:p>
      <w:pPr>
        <w:tabs>
          <w:tab w:val="left" w:pos="6300"/>
        </w:tabs>
        <w:snapToGrid w:val="0"/>
        <w:spacing w:line="540" w:lineRule="exact"/>
        <w:rPr>
          <w:rFonts w:ascii="仿宋" w:hAnsi="仿宋" w:cs="仿宋"/>
          <w:sz w:val="28"/>
          <w:szCs w:val="24"/>
          <w:u w:val="single"/>
        </w:rPr>
      </w:pPr>
      <w:r>
        <w:rPr>
          <w:rFonts w:hint="eastAsia" w:ascii="仿宋" w:hAnsi="仿宋" w:cs="仿宋"/>
          <w:sz w:val="28"/>
          <w:szCs w:val="24"/>
        </w:rPr>
        <w:t>至</w:t>
      </w:r>
      <w:r>
        <w:rPr>
          <w:rFonts w:hint="eastAsia" w:ascii="仿宋" w:hAnsi="仿宋" w:cs="仿宋"/>
          <w:sz w:val="28"/>
          <w:szCs w:val="24"/>
          <w:u w:val="single"/>
        </w:rPr>
        <w:t>（采购人）：</w:t>
      </w:r>
    </w:p>
    <w:p>
      <w:pPr>
        <w:tabs>
          <w:tab w:val="left" w:pos="6300"/>
        </w:tabs>
        <w:snapToGrid w:val="0"/>
        <w:spacing w:line="540" w:lineRule="exact"/>
        <w:ind w:firstLine="570"/>
        <w:rPr>
          <w:rFonts w:ascii="仿宋" w:hAnsi="仿宋" w:cs="仿宋"/>
          <w:sz w:val="28"/>
          <w:szCs w:val="24"/>
        </w:rPr>
      </w:pPr>
      <w:r>
        <w:rPr>
          <w:rFonts w:hint="eastAsia" w:ascii="仿宋" w:hAnsi="仿宋" w:cs="仿宋"/>
          <w:sz w:val="28"/>
          <w:szCs w:val="24"/>
        </w:rPr>
        <w:t>我单位</w:t>
      </w:r>
      <w:r>
        <w:rPr>
          <w:rFonts w:hint="eastAsia" w:ascii="仿宋" w:hAnsi="仿宋" w:cs="仿宋"/>
          <w:sz w:val="28"/>
          <w:szCs w:val="24"/>
          <w:u w:val="single"/>
        </w:rPr>
        <w:t xml:space="preserve">         （供应商名称）</w:t>
      </w:r>
      <w:r>
        <w:rPr>
          <w:rFonts w:hint="eastAsia" w:ascii="仿宋" w:hAnsi="仿宋" w:cs="仿宋"/>
          <w:sz w:val="28"/>
          <w:szCs w:val="24"/>
        </w:rPr>
        <w:t>针对</w:t>
      </w:r>
      <w:r>
        <w:rPr>
          <w:rFonts w:hint="eastAsia" w:ascii="仿宋" w:hAnsi="仿宋" w:cs="仿宋"/>
          <w:sz w:val="28"/>
          <w:szCs w:val="24"/>
          <w:u w:val="single"/>
        </w:rPr>
        <w:t>项目名称</w:t>
      </w:r>
      <w:r>
        <w:rPr>
          <w:rFonts w:hint="eastAsia" w:ascii="仿宋" w:hAnsi="仿宋" w:cs="仿宋"/>
          <w:sz w:val="28"/>
          <w:szCs w:val="24"/>
        </w:rPr>
        <w:t>在此作如下承诺：</w:t>
      </w:r>
    </w:p>
    <w:p>
      <w:pPr>
        <w:snapToGrid w:val="0"/>
        <w:spacing w:line="540" w:lineRule="exact"/>
        <w:ind w:left="573"/>
        <w:rPr>
          <w:rFonts w:ascii="仿宋" w:hAnsi="仿宋" w:cs="仿宋"/>
          <w:sz w:val="28"/>
          <w:szCs w:val="24"/>
        </w:rPr>
      </w:pPr>
      <w:r>
        <w:rPr>
          <w:rFonts w:hint="eastAsia" w:ascii="仿宋" w:hAnsi="仿宋" w:cs="仿宋"/>
          <w:b/>
          <w:sz w:val="28"/>
          <w:szCs w:val="24"/>
        </w:rPr>
        <w:t>… …</w:t>
      </w:r>
    </w:p>
    <w:p>
      <w:pPr>
        <w:snapToGrid w:val="0"/>
        <w:spacing w:line="540" w:lineRule="exact"/>
        <w:ind w:left="573"/>
        <w:rPr>
          <w:rFonts w:ascii="仿宋" w:hAnsi="仿宋" w:cs="仿宋"/>
          <w:b/>
          <w:sz w:val="28"/>
          <w:szCs w:val="24"/>
        </w:rPr>
      </w:pPr>
      <w:r>
        <w:rPr>
          <w:rFonts w:hint="eastAsia" w:ascii="仿宋" w:hAnsi="仿宋" w:cs="仿宋"/>
          <w:b/>
          <w:sz w:val="28"/>
          <w:szCs w:val="24"/>
        </w:rPr>
        <w:t xml:space="preserve">… … </w:t>
      </w:r>
    </w:p>
    <w:p>
      <w:pPr>
        <w:snapToGrid w:val="0"/>
        <w:spacing w:line="540" w:lineRule="exact"/>
        <w:ind w:left="573"/>
        <w:rPr>
          <w:rFonts w:ascii="仿宋" w:hAnsi="仿宋" w:cs="仿宋"/>
          <w:sz w:val="28"/>
          <w:szCs w:val="24"/>
        </w:rPr>
      </w:pPr>
      <w:r>
        <w:rPr>
          <w:rFonts w:hint="eastAsia" w:ascii="仿宋" w:hAnsi="仿宋" w:cs="仿宋"/>
          <w:b/>
          <w:sz w:val="28"/>
          <w:szCs w:val="24"/>
        </w:rPr>
        <w:t>… …</w:t>
      </w:r>
    </w:p>
    <w:p>
      <w:pPr>
        <w:tabs>
          <w:tab w:val="left" w:pos="6300"/>
        </w:tabs>
        <w:snapToGrid w:val="0"/>
        <w:spacing w:line="540" w:lineRule="exact"/>
        <w:ind w:firstLine="570"/>
        <w:rPr>
          <w:rFonts w:ascii="仿宋" w:hAnsi="仿宋" w:cs="仿宋"/>
          <w:sz w:val="28"/>
          <w:szCs w:val="24"/>
        </w:rPr>
      </w:pPr>
      <w:r>
        <w:rPr>
          <w:rFonts w:hint="eastAsia" w:ascii="仿宋" w:hAnsi="仿宋" w:cs="仿宋"/>
          <w:sz w:val="28"/>
          <w:szCs w:val="24"/>
        </w:rPr>
        <w:t>对此，我方保证承诺的真实有效性，如有违反，将自愿接受取消本次报价（成交）资格的处罚。</w:t>
      </w:r>
    </w:p>
    <w:p>
      <w:pPr>
        <w:pStyle w:val="22"/>
        <w:rPr>
          <w:rFonts w:ascii="仿宋" w:hAnsi="仿宋" w:eastAsia="仿宋" w:cs="仿宋"/>
          <w:b/>
          <w:color w:val="auto"/>
          <w:sz w:val="28"/>
        </w:rPr>
      </w:pPr>
    </w:p>
    <w:p>
      <w:pPr>
        <w:pStyle w:val="3"/>
      </w:pPr>
    </w:p>
    <w:p>
      <w:pPr>
        <w:rPr>
          <w:sz w:val="28"/>
        </w:rPr>
      </w:pPr>
    </w:p>
    <w:p>
      <w:pPr>
        <w:spacing w:line="360" w:lineRule="auto"/>
        <w:ind w:firstLine="560" w:firstLineChars="200"/>
        <w:rPr>
          <w:rFonts w:ascii="仿宋" w:hAnsi="仿宋" w:cs="仿宋"/>
          <w:sz w:val="28"/>
          <w:szCs w:val="24"/>
        </w:rPr>
      </w:pPr>
      <w:r>
        <w:rPr>
          <w:rFonts w:hint="eastAsia" w:ascii="仿宋" w:hAnsi="仿宋" w:cs="仿宋"/>
          <w:sz w:val="28"/>
          <w:szCs w:val="24"/>
        </w:rPr>
        <w:t>供应商全称（盖单位公章）：</w:t>
      </w:r>
    </w:p>
    <w:p>
      <w:pPr>
        <w:spacing w:line="360" w:lineRule="auto"/>
        <w:ind w:firstLine="560" w:firstLineChars="200"/>
        <w:rPr>
          <w:rFonts w:ascii="仿宋" w:hAnsi="仿宋" w:cs="仿宋"/>
          <w:bCs/>
          <w:color w:val="000000"/>
          <w:sz w:val="28"/>
          <w:szCs w:val="24"/>
          <w:u w:val="single"/>
        </w:rPr>
      </w:pPr>
      <w:r>
        <w:rPr>
          <w:rFonts w:hint="eastAsia" w:ascii="仿宋" w:hAnsi="仿宋" w:cs="仿宋"/>
          <w:bCs/>
          <w:color w:val="000000"/>
          <w:sz w:val="28"/>
          <w:szCs w:val="24"/>
        </w:rPr>
        <w:t>法定代表人或委托代理人（</w:t>
      </w:r>
      <w:r>
        <w:rPr>
          <w:rFonts w:hint="eastAsia" w:ascii="仿宋" w:hAnsi="仿宋" w:cs="仿宋"/>
          <w:bCs/>
          <w:sz w:val="28"/>
          <w:szCs w:val="24"/>
        </w:rPr>
        <w:t>签字或盖章</w:t>
      </w:r>
      <w:r>
        <w:rPr>
          <w:rFonts w:hint="eastAsia" w:ascii="仿宋" w:hAnsi="仿宋" w:cs="仿宋"/>
          <w:bCs/>
          <w:color w:val="000000"/>
          <w:sz w:val="28"/>
          <w:szCs w:val="24"/>
        </w:rPr>
        <w:t>）：</w:t>
      </w:r>
    </w:p>
    <w:p>
      <w:pPr>
        <w:rPr>
          <w:rFonts w:ascii="仿宋" w:hAnsi="仿宋" w:cs="仿宋"/>
          <w:bCs/>
          <w:sz w:val="28"/>
          <w:szCs w:val="24"/>
        </w:rPr>
      </w:pPr>
      <w:r>
        <w:rPr>
          <w:rFonts w:hint="eastAsia" w:ascii="仿宋" w:hAnsi="仿宋" w:cs="仿宋"/>
          <w:sz w:val="28"/>
          <w:szCs w:val="24"/>
        </w:rPr>
        <w:t xml:space="preserve">    日期：  年   月  日</w:t>
      </w:r>
      <w:bookmarkEnd w:id="39"/>
      <w:bookmarkEnd w:id="40"/>
    </w:p>
    <w:p>
      <w:pPr>
        <w:pStyle w:val="3"/>
      </w:pPr>
    </w:p>
    <w:p>
      <w:pPr>
        <w:pStyle w:val="3"/>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p>
    <w:p>
      <w:pPr>
        <w:spacing w:line="360" w:lineRule="auto"/>
        <w:jc w:val="center"/>
        <w:rPr>
          <w:rFonts w:ascii="仿宋" w:hAnsi="仿宋" w:cs="仿宋"/>
          <w:b/>
          <w:bCs/>
          <w:sz w:val="28"/>
          <w:szCs w:val="24"/>
        </w:rPr>
      </w:pPr>
      <w:r>
        <w:rPr>
          <w:rFonts w:hint="eastAsia" w:ascii="仿宋" w:hAnsi="仿宋" w:cs="仿宋"/>
          <w:b/>
          <w:bCs/>
          <w:sz w:val="28"/>
          <w:szCs w:val="24"/>
        </w:rPr>
        <w:t>十、没有重大违法记录的书面声明函</w:t>
      </w:r>
    </w:p>
    <w:p>
      <w:pPr>
        <w:spacing w:line="360" w:lineRule="auto"/>
        <w:ind w:firstLine="560" w:firstLineChars="200"/>
        <w:rPr>
          <w:rFonts w:ascii="仿宋" w:hAnsi="仿宋" w:cs="仿宋"/>
          <w:sz w:val="28"/>
          <w:szCs w:val="24"/>
        </w:rPr>
      </w:pPr>
      <w:r>
        <w:rPr>
          <w:rFonts w:hint="eastAsia" w:ascii="仿宋" w:hAnsi="仿宋" w:cs="仿宋"/>
          <w:sz w:val="28"/>
          <w:szCs w:val="24"/>
        </w:rPr>
        <w:t>我单位郑重声明，参加本次采购项目前3年内在经营活动中没有重大违法记录（重大违法记录是指供应商因违法经营受到刑事处罚或责令停产停业、吊销许可证或者执照、较大数额等行政处罚）。</w:t>
      </w:r>
    </w:p>
    <w:p>
      <w:pPr>
        <w:spacing w:line="360" w:lineRule="auto"/>
        <w:ind w:firstLine="560" w:firstLineChars="200"/>
        <w:rPr>
          <w:rFonts w:ascii="仿宋" w:hAnsi="仿宋" w:cs="仿宋"/>
          <w:sz w:val="28"/>
          <w:szCs w:val="24"/>
        </w:rPr>
      </w:pPr>
      <w:r>
        <w:rPr>
          <w:rFonts w:hint="eastAsia" w:ascii="仿宋" w:hAnsi="仿宋" w:cs="仿宋"/>
          <w:sz w:val="28"/>
          <w:szCs w:val="24"/>
        </w:rPr>
        <w:t>我单位对上述声明的真实性负责。如有虚假，将依法承担相应责任。</w:t>
      </w:r>
    </w:p>
    <w:p>
      <w:pPr>
        <w:spacing w:line="360" w:lineRule="auto"/>
        <w:ind w:firstLine="560" w:firstLineChars="200"/>
        <w:rPr>
          <w:rFonts w:ascii="仿宋" w:hAnsi="仿宋" w:cs="仿宋"/>
          <w:sz w:val="28"/>
          <w:szCs w:val="24"/>
        </w:rPr>
      </w:pPr>
    </w:p>
    <w:p>
      <w:pPr>
        <w:spacing w:line="360" w:lineRule="auto"/>
        <w:ind w:firstLine="560" w:firstLineChars="200"/>
        <w:rPr>
          <w:rFonts w:ascii="仿宋" w:hAnsi="仿宋" w:cs="仿宋"/>
          <w:sz w:val="28"/>
          <w:szCs w:val="24"/>
        </w:rPr>
      </w:pPr>
    </w:p>
    <w:p>
      <w:pPr>
        <w:spacing w:line="360" w:lineRule="auto"/>
        <w:ind w:firstLine="560" w:firstLineChars="200"/>
        <w:rPr>
          <w:rFonts w:ascii="仿宋" w:hAnsi="仿宋" w:cs="仿宋"/>
          <w:sz w:val="28"/>
          <w:szCs w:val="24"/>
        </w:rPr>
      </w:pPr>
      <w:r>
        <w:rPr>
          <w:rFonts w:hint="eastAsia" w:ascii="仿宋" w:hAnsi="仿宋" w:cs="仿宋"/>
          <w:sz w:val="28"/>
          <w:szCs w:val="24"/>
        </w:rPr>
        <w:t>供应商全称（盖单位公章）：</w:t>
      </w:r>
    </w:p>
    <w:p>
      <w:pPr>
        <w:spacing w:line="360" w:lineRule="auto"/>
        <w:ind w:firstLine="560" w:firstLineChars="200"/>
        <w:rPr>
          <w:rFonts w:ascii="仿宋" w:hAnsi="仿宋" w:cs="仿宋"/>
          <w:bCs/>
          <w:color w:val="000000"/>
          <w:sz w:val="28"/>
          <w:szCs w:val="24"/>
          <w:u w:val="single"/>
        </w:rPr>
      </w:pPr>
      <w:r>
        <w:rPr>
          <w:rFonts w:hint="eastAsia" w:ascii="仿宋" w:hAnsi="仿宋" w:cs="仿宋"/>
          <w:bCs/>
          <w:color w:val="000000"/>
          <w:sz w:val="28"/>
          <w:szCs w:val="24"/>
        </w:rPr>
        <w:t>法定代表人或委托代理人（</w:t>
      </w:r>
      <w:r>
        <w:rPr>
          <w:rFonts w:hint="eastAsia" w:ascii="仿宋" w:hAnsi="仿宋" w:cs="仿宋"/>
          <w:bCs/>
          <w:sz w:val="28"/>
          <w:szCs w:val="24"/>
        </w:rPr>
        <w:t>签字或盖章</w:t>
      </w:r>
      <w:r>
        <w:rPr>
          <w:rFonts w:hint="eastAsia" w:ascii="仿宋" w:hAnsi="仿宋" w:cs="仿宋"/>
          <w:bCs/>
          <w:color w:val="000000"/>
          <w:sz w:val="28"/>
          <w:szCs w:val="24"/>
        </w:rPr>
        <w:t>）：</w:t>
      </w:r>
    </w:p>
    <w:p>
      <w:pPr>
        <w:spacing w:line="360" w:lineRule="auto"/>
        <w:ind w:firstLine="560" w:firstLineChars="200"/>
        <w:rPr>
          <w:rFonts w:ascii="仿宋" w:hAnsi="仿宋" w:cs="仿宋"/>
          <w:sz w:val="28"/>
          <w:szCs w:val="24"/>
        </w:rPr>
      </w:pPr>
      <w:r>
        <w:rPr>
          <w:rFonts w:hint="eastAsia" w:ascii="仿宋" w:hAnsi="仿宋" w:cs="仿宋"/>
          <w:sz w:val="28"/>
          <w:szCs w:val="24"/>
        </w:rPr>
        <w:t>日期：年月日</w:t>
      </w:r>
    </w:p>
    <w:p>
      <w:pPr>
        <w:pStyle w:val="3"/>
      </w:pPr>
      <w:bookmarkStart w:id="379" w:name="_Toc2730"/>
      <w:bookmarkStart w:id="380" w:name="_Toc29894"/>
      <w:bookmarkStart w:id="381" w:name="_Toc22329"/>
      <w:bookmarkStart w:id="382" w:name="_Toc19662"/>
      <w:bookmarkStart w:id="383" w:name="_Toc5223"/>
      <w:bookmarkStart w:id="384" w:name="_Toc7975"/>
      <w:bookmarkStart w:id="385" w:name="_Toc23339"/>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spacing w:afterLines="100" w:line="360" w:lineRule="auto"/>
        <w:jc w:val="center"/>
        <w:rPr>
          <w:rFonts w:ascii="仿宋" w:hAnsi="仿宋" w:cs="仿宋"/>
          <w:b/>
          <w:bCs/>
          <w:sz w:val="28"/>
          <w:szCs w:val="24"/>
        </w:rPr>
      </w:pPr>
    </w:p>
    <w:p>
      <w:pPr>
        <w:spacing w:afterLines="100" w:line="360" w:lineRule="auto"/>
        <w:jc w:val="center"/>
        <w:rPr>
          <w:rFonts w:ascii="仿宋" w:hAnsi="仿宋" w:cs="仿宋"/>
          <w:b/>
          <w:bCs/>
          <w:sz w:val="28"/>
          <w:szCs w:val="24"/>
        </w:rPr>
      </w:pPr>
      <w:r>
        <w:rPr>
          <w:rFonts w:hint="eastAsia" w:ascii="仿宋" w:hAnsi="仿宋" w:cs="仿宋"/>
          <w:b/>
          <w:bCs/>
          <w:sz w:val="28"/>
          <w:szCs w:val="24"/>
        </w:rPr>
        <w:t>十一、法定代表人身份证明书</w:t>
      </w:r>
    </w:p>
    <w:p>
      <w:pPr>
        <w:spacing w:line="360" w:lineRule="auto"/>
        <w:ind w:firstLine="560" w:firstLineChars="200"/>
        <w:rPr>
          <w:rFonts w:ascii="仿宋" w:hAnsi="仿宋" w:cs="仿宋"/>
          <w:sz w:val="28"/>
          <w:szCs w:val="24"/>
        </w:rPr>
      </w:pPr>
      <w:r>
        <w:rPr>
          <w:rFonts w:hint="eastAsia" w:ascii="仿宋" w:hAnsi="仿宋" w:cs="仿宋"/>
          <w:sz w:val="28"/>
          <w:szCs w:val="24"/>
        </w:rPr>
        <w:t>单位名称：</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p>
    <w:p>
      <w:pPr>
        <w:spacing w:line="360" w:lineRule="auto"/>
        <w:ind w:firstLine="560" w:firstLineChars="200"/>
        <w:rPr>
          <w:rFonts w:ascii="仿宋" w:hAnsi="仿宋" w:cs="仿宋"/>
          <w:sz w:val="28"/>
          <w:szCs w:val="24"/>
        </w:rPr>
      </w:pPr>
      <w:r>
        <w:rPr>
          <w:rFonts w:hint="eastAsia" w:ascii="仿宋" w:hAnsi="仿宋" w:cs="仿宋"/>
          <w:sz w:val="28"/>
          <w:szCs w:val="24"/>
        </w:rPr>
        <w:t>单位性质：</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p>
    <w:p>
      <w:pPr>
        <w:spacing w:line="360" w:lineRule="auto"/>
        <w:ind w:firstLine="560" w:firstLineChars="200"/>
        <w:rPr>
          <w:rFonts w:ascii="仿宋" w:hAnsi="仿宋" w:cs="仿宋"/>
          <w:sz w:val="28"/>
          <w:szCs w:val="24"/>
        </w:rPr>
      </w:pPr>
      <w:r>
        <w:rPr>
          <w:rFonts w:hint="eastAsia" w:ascii="仿宋" w:hAnsi="仿宋" w:cs="仿宋"/>
          <w:sz w:val="28"/>
          <w:szCs w:val="24"/>
        </w:rPr>
        <w:t>地址：</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p>
    <w:p>
      <w:pPr>
        <w:spacing w:line="360" w:lineRule="auto"/>
        <w:ind w:firstLine="560" w:firstLineChars="200"/>
        <w:rPr>
          <w:rFonts w:ascii="仿宋" w:hAnsi="仿宋" w:cs="仿宋"/>
          <w:sz w:val="28"/>
          <w:szCs w:val="24"/>
        </w:rPr>
      </w:pPr>
      <w:r>
        <w:rPr>
          <w:rFonts w:hint="eastAsia" w:ascii="仿宋" w:hAnsi="仿宋" w:cs="仿宋"/>
          <w:sz w:val="28"/>
          <w:szCs w:val="24"/>
        </w:rPr>
        <w:t>成立时间：年月日</w:t>
      </w:r>
    </w:p>
    <w:p>
      <w:pPr>
        <w:spacing w:line="360" w:lineRule="auto"/>
        <w:ind w:firstLine="560" w:firstLineChars="200"/>
        <w:rPr>
          <w:rFonts w:ascii="仿宋" w:hAnsi="仿宋" w:cs="仿宋"/>
          <w:sz w:val="28"/>
          <w:szCs w:val="24"/>
        </w:rPr>
      </w:pPr>
      <w:r>
        <w:rPr>
          <w:rFonts w:hint="eastAsia" w:ascii="仿宋" w:hAnsi="仿宋" w:cs="仿宋"/>
          <w:sz w:val="28"/>
          <w:szCs w:val="24"/>
        </w:rPr>
        <w:t>经营期限：</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u w:val="single"/>
        </w:rPr>
        <w:tab/>
      </w:r>
    </w:p>
    <w:p>
      <w:pPr>
        <w:spacing w:line="360" w:lineRule="auto"/>
        <w:ind w:firstLine="560" w:firstLineChars="200"/>
        <w:rPr>
          <w:rFonts w:ascii="仿宋" w:hAnsi="仿宋" w:cs="仿宋"/>
          <w:sz w:val="28"/>
          <w:szCs w:val="24"/>
        </w:rPr>
      </w:pPr>
      <w:r>
        <w:rPr>
          <w:rFonts w:hint="eastAsia" w:ascii="仿宋" w:hAnsi="仿宋" w:cs="仿宋"/>
          <w:sz w:val="28"/>
          <w:szCs w:val="24"/>
        </w:rPr>
        <w:t>姓名：</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rPr>
        <w:t>性别：</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rPr>
        <w:t>年龄：</w:t>
      </w:r>
      <w:r>
        <w:rPr>
          <w:rFonts w:hint="eastAsia" w:ascii="仿宋" w:hAnsi="仿宋" w:cs="仿宋"/>
          <w:sz w:val="28"/>
          <w:szCs w:val="24"/>
          <w:u w:val="single"/>
        </w:rPr>
        <w:tab/>
      </w:r>
      <w:r>
        <w:rPr>
          <w:rFonts w:hint="eastAsia" w:ascii="仿宋" w:hAnsi="仿宋" w:cs="仿宋"/>
          <w:sz w:val="28"/>
          <w:szCs w:val="24"/>
          <w:u w:val="single"/>
        </w:rPr>
        <w:tab/>
      </w:r>
      <w:r>
        <w:rPr>
          <w:rFonts w:hint="eastAsia" w:ascii="仿宋" w:hAnsi="仿宋" w:cs="仿宋"/>
          <w:sz w:val="28"/>
          <w:szCs w:val="24"/>
        </w:rPr>
        <w:t>职务：</w:t>
      </w:r>
      <w:r>
        <w:rPr>
          <w:rFonts w:hint="eastAsia" w:ascii="仿宋" w:hAnsi="仿宋" w:cs="仿宋"/>
          <w:sz w:val="28"/>
          <w:szCs w:val="24"/>
          <w:u w:val="single"/>
        </w:rPr>
        <w:tab/>
      </w:r>
      <w:r>
        <w:rPr>
          <w:rFonts w:hint="eastAsia" w:ascii="仿宋" w:hAnsi="仿宋" w:cs="仿宋"/>
          <w:sz w:val="28"/>
          <w:szCs w:val="24"/>
          <w:u w:val="single"/>
        </w:rPr>
        <w:tab/>
      </w:r>
    </w:p>
    <w:p>
      <w:pPr>
        <w:spacing w:line="360" w:lineRule="auto"/>
        <w:ind w:firstLine="560" w:firstLineChars="200"/>
        <w:rPr>
          <w:rFonts w:ascii="仿宋" w:hAnsi="仿宋" w:cs="仿宋"/>
          <w:sz w:val="28"/>
          <w:szCs w:val="24"/>
        </w:rPr>
      </w:pPr>
      <w:r>
        <w:rPr>
          <w:rFonts w:hint="eastAsia" w:ascii="仿宋" w:hAnsi="仿宋" w:cs="仿宋"/>
          <w:sz w:val="28"/>
          <w:szCs w:val="24"/>
        </w:rPr>
        <w:t>系</w:t>
      </w:r>
      <w:r>
        <w:rPr>
          <w:rFonts w:hint="eastAsia" w:ascii="仿宋" w:hAnsi="仿宋" w:cs="仿宋"/>
          <w:sz w:val="28"/>
          <w:szCs w:val="24"/>
          <w:u w:val="single"/>
        </w:rPr>
        <w:t xml:space="preserve">   (供应商单位名称)</w:t>
      </w:r>
      <w:r>
        <w:rPr>
          <w:rFonts w:hint="eastAsia" w:ascii="仿宋" w:hAnsi="仿宋" w:cs="仿宋"/>
          <w:sz w:val="28"/>
          <w:szCs w:val="24"/>
        </w:rPr>
        <w:t>的法定代表人。</w:t>
      </w:r>
    </w:p>
    <w:p>
      <w:pPr>
        <w:spacing w:line="360" w:lineRule="auto"/>
        <w:ind w:firstLine="560" w:firstLineChars="200"/>
        <w:rPr>
          <w:rFonts w:ascii="仿宋" w:hAnsi="仿宋" w:cs="仿宋"/>
          <w:sz w:val="28"/>
          <w:szCs w:val="24"/>
        </w:rPr>
      </w:pPr>
      <w:r>
        <w:rPr>
          <w:rFonts w:hint="eastAsia" w:ascii="仿宋" w:hAnsi="仿宋" w:cs="仿宋"/>
          <w:sz w:val="28"/>
          <w:szCs w:val="24"/>
        </w:rPr>
        <w:t>特此证明。</w:t>
      </w:r>
    </w:p>
    <w:p>
      <w:pPr>
        <w:spacing w:line="360" w:lineRule="auto"/>
        <w:rPr>
          <w:rFonts w:ascii="仿宋" w:hAnsi="仿宋" w:cs="仿宋"/>
          <w:sz w:val="28"/>
          <w:szCs w:val="24"/>
        </w:rPr>
      </w:pPr>
    </w:p>
    <w:p>
      <w:pPr>
        <w:spacing w:line="360" w:lineRule="auto"/>
        <w:ind w:firstLine="560" w:firstLineChars="200"/>
        <w:rPr>
          <w:rFonts w:ascii="仿宋" w:hAnsi="仿宋" w:cs="仿宋"/>
          <w:sz w:val="28"/>
          <w:szCs w:val="24"/>
        </w:rPr>
      </w:pPr>
      <w:r>
        <w:rPr>
          <w:rFonts w:hint="eastAsia" w:ascii="仿宋" w:hAnsi="仿宋" w:cs="仿宋"/>
          <w:sz w:val="28"/>
          <w:szCs w:val="24"/>
        </w:rPr>
        <w:t>供应商全称：</w:t>
      </w:r>
      <w:r>
        <w:rPr>
          <w:rFonts w:hint="eastAsia" w:ascii="仿宋" w:hAnsi="仿宋" w:cs="仿宋"/>
          <w:sz w:val="28"/>
          <w:szCs w:val="24"/>
          <w:u w:val="single"/>
        </w:rPr>
        <w:t>(盖单位公章)</w:t>
      </w:r>
    </w:p>
    <w:p>
      <w:pPr>
        <w:spacing w:line="360" w:lineRule="auto"/>
        <w:ind w:firstLine="560" w:firstLineChars="200"/>
        <w:rPr>
          <w:rFonts w:ascii="仿宋" w:hAnsi="仿宋" w:cs="仿宋"/>
          <w:sz w:val="28"/>
          <w:szCs w:val="24"/>
        </w:rPr>
      </w:pPr>
      <w:r>
        <w:rPr>
          <w:rFonts w:hint="eastAsia" w:ascii="仿宋" w:hAnsi="仿宋" w:cs="仿宋"/>
          <w:sz w:val="28"/>
          <w:szCs w:val="24"/>
        </w:rPr>
        <w:t>日期：年月日</w:t>
      </w:r>
    </w:p>
    <w:p>
      <w:pPr>
        <w:spacing w:line="360" w:lineRule="auto"/>
        <w:rPr>
          <w:rFonts w:ascii="仿宋" w:hAnsi="仿宋" w:cs="仿宋"/>
          <w:bCs/>
          <w:sz w:val="28"/>
          <w:szCs w:val="24"/>
          <w:u w:val="single"/>
        </w:rPr>
      </w:pPr>
    </w:p>
    <w:p>
      <w:pPr>
        <w:spacing w:line="360" w:lineRule="auto"/>
        <w:ind w:firstLine="560" w:firstLineChars="200"/>
        <w:rPr>
          <w:rFonts w:ascii="仿宋" w:hAnsi="仿宋" w:cs="仿宋"/>
          <w:sz w:val="28"/>
          <w:szCs w:val="24"/>
        </w:rPr>
      </w:pPr>
      <w:r>
        <w:rPr>
          <w:rFonts w:hint="eastAsia" w:ascii="仿宋" w:hAnsi="仿宋" w:cs="仿宋"/>
          <w:sz w:val="28"/>
          <w:szCs w:val="24"/>
        </w:rPr>
        <w:t>附：法定代表人身份证复印件（正、反两面）</w:t>
      </w:r>
    </w:p>
    <w:p>
      <w:pPr>
        <w:pStyle w:val="3"/>
      </w:pPr>
    </w:p>
    <w:p>
      <w:pPr>
        <w:pStyle w:val="3"/>
      </w:pPr>
    </w:p>
    <w:p>
      <w:pPr>
        <w:pStyle w:val="3"/>
      </w:pPr>
    </w:p>
    <w:p>
      <w:pPr>
        <w:pStyle w:val="3"/>
      </w:pPr>
    </w:p>
    <w:p>
      <w:pPr>
        <w:pStyle w:val="3"/>
      </w:pPr>
    </w:p>
    <w:p>
      <w:pPr>
        <w:pStyle w:val="3"/>
      </w:pPr>
    </w:p>
    <w:p>
      <w:pPr>
        <w:pStyle w:val="3"/>
      </w:pPr>
    </w:p>
    <w:p>
      <w:pPr>
        <w:pStyle w:val="3"/>
      </w:pPr>
    </w:p>
    <w:p>
      <w:pPr>
        <w:pStyle w:val="3"/>
      </w:pPr>
    </w:p>
    <w:bookmarkEnd w:id="379"/>
    <w:bookmarkEnd w:id="380"/>
    <w:bookmarkEnd w:id="381"/>
    <w:bookmarkEnd w:id="382"/>
    <w:bookmarkEnd w:id="383"/>
    <w:bookmarkEnd w:id="384"/>
    <w:bookmarkEnd w:id="385"/>
    <w:p>
      <w:pPr>
        <w:spacing w:before="120" w:after="120" w:line="360" w:lineRule="auto"/>
        <w:jc w:val="center"/>
        <w:rPr>
          <w:rFonts w:ascii="仿宋" w:hAnsi="仿宋" w:cs="仿宋"/>
          <w:bCs/>
          <w:sz w:val="28"/>
          <w:szCs w:val="24"/>
        </w:rPr>
      </w:pPr>
    </w:p>
    <w:p>
      <w:pPr>
        <w:spacing w:before="120" w:after="120" w:line="360" w:lineRule="auto"/>
        <w:jc w:val="center"/>
        <w:rPr>
          <w:rFonts w:ascii="仿宋" w:hAnsi="仿宋" w:cs="仿宋"/>
          <w:b/>
          <w:sz w:val="28"/>
          <w:szCs w:val="24"/>
        </w:rPr>
      </w:pPr>
    </w:p>
    <w:p>
      <w:pPr>
        <w:spacing w:afterLines="100" w:line="360" w:lineRule="auto"/>
        <w:jc w:val="center"/>
        <w:rPr>
          <w:rFonts w:ascii="仿宋" w:hAnsi="仿宋" w:cs="仿宋"/>
          <w:b/>
          <w:bCs/>
          <w:sz w:val="28"/>
          <w:szCs w:val="24"/>
        </w:rPr>
      </w:pPr>
      <w:r>
        <w:rPr>
          <w:rFonts w:hint="eastAsia" w:ascii="仿宋" w:hAnsi="仿宋" w:cs="仿宋"/>
          <w:b/>
          <w:bCs/>
          <w:sz w:val="28"/>
          <w:szCs w:val="24"/>
        </w:rPr>
        <w:t>十二、授权委托书</w:t>
      </w:r>
    </w:p>
    <w:p>
      <w:pPr>
        <w:spacing w:line="360" w:lineRule="auto"/>
        <w:ind w:firstLine="560" w:firstLineChars="200"/>
        <w:rPr>
          <w:rFonts w:ascii="仿宋" w:hAnsi="仿宋" w:cs="仿宋"/>
          <w:sz w:val="28"/>
          <w:szCs w:val="24"/>
        </w:rPr>
      </w:pPr>
      <w:r>
        <w:rPr>
          <w:rFonts w:hint="eastAsia" w:ascii="仿宋" w:hAnsi="仿宋" w:cs="仿宋"/>
          <w:sz w:val="28"/>
          <w:szCs w:val="24"/>
        </w:rPr>
        <w:t>本人</w:t>
      </w:r>
      <w:r>
        <w:rPr>
          <w:rFonts w:hint="eastAsia" w:ascii="仿宋" w:hAnsi="仿宋" w:cs="仿宋"/>
          <w:sz w:val="28"/>
          <w:szCs w:val="24"/>
          <w:u w:val="single"/>
        </w:rPr>
        <w:t>（姓名）</w:t>
      </w:r>
      <w:r>
        <w:rPr>
          <w:rFonts w:hint="eastAsia" w:ascii="仿宋" w:hAnsi="仿宋" w:cs="仿宋"/>
          <w:sz w:val="28"/>
          <w:szCs w:val="24"/>
        </w:rPr>
        <w:t>系</w:t>
      </w:r>
      <w:r>
        <w:rPr>
          <w:rFonts w:hint="eastAsia" w:ascii="仿宋" w:hAnsi="仿宋" w:cs="仿宋"/>
          <w:sz w:val="28"/>
          <w:szCs w:val="24"/>
          <w:u w:val="single"/>
        </w:rPr>
        <w:t>（供应商名称）</w:t>
      </w:r>
      <w:r>
        <w:rPr>
          <w:rFonts w:hint="eastAsia" w:ascii="仿宋" w:hAnsi="仿宋" w:cs="仿宋"/>
          <w:sz w:val="28"/>
          <w:szCs w:val="24"/>
        </w:rPr>
        <w:t>的法定代表人，代表我单位授权在下面签字的</w:t>
      </w:r>
      <w:r>
        <w:rPr>
          <w:rFonts w:hint="eastAsia" w:ascii="仿宋" w:hAnsi="仿宋" w:cs="仿宋"/>
          <w:sz w:val="28"/>
          <w:szCs w:val="24"/>
          <w:u w:val="single"/>
        </w:rPr>
        <w:t>（委托代理人的姓名、职务）</w:t>
      </w:r>
      <w:r>
        <w:rPr>
          <w:rFonts w:hint="eastAsia" w:ascii="仿宋" w:hAnsi="仿宋" w:cs="仿宋"/>
          <w:sz w:val="28"/>
          <w:szCs w:val="24"/>
        </w:rPr>
        <w:t>为我单位的合法代理人，就</w:t>
      </w:r>
      <w:r>
        <w:rPr>
          <w:rFonts w:hint="eastAsia" w:ascii="仿宋" w:hAnsi="仿宋" w:cs="仿宋"/>
          <w:sz w:val="28"/>
          <w:szCs w:val="24"/>
          <w:u w:val="single"/>
        </w:rPr>
        <w:t>（项目名称）</w:t>
      </w:r>
      <w:r>
        <w:rPr>
          <w:rFonts w:hint="eastAsia" w:ascii="仿宋" w:hAnsi="仿宋" w:cs="仿宋"/>
          <w:sz w:val="28"/>
          <w:szCs w:val="24"/>
        </w:rPr>
        <w:t>以本单位名义处理响应文件的递交、澄清、修改、撤销、质疑等一切事务。</w:t>
      </w:r>
    </w:p>
    <w:p>
      <w:pPr>
        <w:spacing w:line="360" w:lineRule="auto"/>
        <w:ind w:firstLine="560" w:firstLineChars="200"/>
        <w:rPr>
          <w:rFonts w:ascii="仿宋" w:hAnsi="仿宋" w:cs="仿宋"/>
          <w:sz w:val="28"/>
          <w:szCs w:val="24"/>
        </w:rPr>
      </w:pPr>
      <w:r>
        <w:rPr>
          <w:rFonts w:hint="eastAsia" w:ascii="仿宋" w:hAnsi="仿宋" w:cs="仿宋"/>
          <w:sz w:val="28"/>
          <w:szCs w:val="24"/>
        </w:rPr>
        <w:t>本授权书于年月日生效。</w:t>
      </w:r>
    </w:p>
    <w:p>
      <w:pPr>
        <w:spacing w:line="360" w:lineRule="auto"/>
        <w:ind w:firstLine="560" w:firstLineChars="200"/>
        <w:rPr>
          <w:rFonts w:ascii="仿宋" w:hAnsi="仿宋" w:cs="仿宋"/>
          <w:sz w:val="28"/>
          <w:szCs w:val="24"/>
        </w:rPr>
      </w:pPr>
      <w:r>
        <w:rPr>
          <w:rFonts w:hint="eastAsia" w:ascii="仿宋" w:hAnsi="仿宋" w:cs="仿宋"/>
          <w:sz w:val="28"/>
          <w:szCs w:val="24"/>
        </w:rPr>
        <w:t>代理人无转委托权。</w:t>
      </w:r>
    </w:p>
    <w:p>
      <w:pPr>
        <w:spacing w:line="360" w:lineRule="auto"/>
        <w:ind w:firstLine="560" w:firstLineChars="200"/>
        <w:rPr>
          <w:rFonts w:ascii="仿宋" w:hAnsi="仿宋" w:cs="仿宋"/>
          <w:sz w:val="28"/>
          <w:szCs w:val="24"/>
        </w:rPr>
      </w:pPr>
    </w:p>
    <w:p>
      <w:pPr>
        <w:pStyle w:val="8"/>
        <w:spacing w:line="360" w:lineRule="auto"/>
        <w:rPr>
          <w:rFonts w:ascii="仿宋" w:hAnsi="仿宋" w:cs="仿宋"/>
          <w:sz w:val="28"/>
          <w:szCs w:val="24"/>
        </w:rPr>
      </w:pPr>
    </w:p>
    <w:p>
      <w:pPr>
        <w:spacing w:line="360" w:lineRule="auto"/>
        <w:rPr>
          <w:rFonts w:ascii="仿宋" w:hAnsi="仿宋" w:cs="仿宋"/>
          <w:sz w:val="28"/>
          <w:szCs w:val="24"/>
        </w:rPr>
      </w:pPr>
    </w:p>
    <w:p>
      <w:pPr>
        <w:spacing w:line="360" w:lineRule="auto"/>
        <w:ind w:firstLine="560" w:firstLineChars="200"/>
        <w:rPr>
          <w:rFonts w:ascii="仿宋" w:hAnsi="仿宋" w:cs="仿宋"/>
          <w:sz w:val="28"/>
          <w:szCs w:val="24"/>
        </w:rPr>
      </w:pPr>
      <w:r>
        <w:rPr>
          <w:rFonts w:hint="eastAsia" w:ascii="仿宋" w:hAnsi="仿宋" w:cs="仿宋"/>
          <w:sz w:val="28"/>
          <w:szCs w:val="24"/>
        </w:rPr>
        <w:t>供应商全称（盖单位公章）：</w:t>
      </w:r>
    </w:p>
    <w:p>
      <w:pPr>
        <w:spacing w:line="360" w:lineRule="auto"/>
        <w:ind w:firstLine="560" w:firstLineChars="200"/>
        <w:rPr>
          <w:rFonts w:ascii="仿宋" w:hAnsi="仿宋" w:cs="仿宋"/>
          <w:sz w:val="28"/>
          <w:szCs w:val="24"/>
          <w:u w:val="single"/>
        </w:rPr>
      </w:pPr>
      <w:r>
        <w:rPr>
          <w:rFonts w:hint="eastAsia" w:ascii="仿宋" w:hAnsi="仿宋" w:cs="仿宋"/>
          <w:sz w:val="28"/>
          <w:szCs w:val="24"/>
        </w:rPr>
        <w:t>法定代表人（签字或盖章）：</w:t>
      </w:r>
    </w:p>
    <w:p>
      <w:pPr>
        <w:pStyle w:val="6"/>
        <w:spacing w:line="360" w:lineRule="auto"/>
        <w:ind w:firstLine="560" w:firstLineChars="200"/>
        <w:rPr>
          <w:rFonts w:ascii="仿宋" w:hAnsi="仿宋" w:cs="仿宋"/>
          <w:bCs w:val="0"/>
          <w:sz w:val="28"/>
          <w:szCs w:val="24"/>
          <w:u w:val="single"/>
        </w:rPr>
      </w:pPr>
      <w:r>
        <w:rPr>
          <w:rFonts w:hint="eastAsia" w:ascii="仿宋" w:hAnsi="仿宋" w:cs="仿宋"/>
          <w:bCs w:val="0"/>
          <w:sz w:val="28"/>
          <w:szCs w:val="24"/>
        </w:rPr>
        <w:t>身份证号码：</w:t>
      </w:r>
    </w:p>
    <w:p>
      <w:pPr>
        <w:pStyle w:val="6"/>
        <w:spacing w:line="360" w:lineRule="auto"/>
        <w:ind w:firstLine="560" w:firstLineChars="200"/>
        <w:rPr>
          <w:rFonts w:ascii="仿宋" w:hAnsi="仿宋" w:cs="仿宋"/>
          <w:sz w:val="28"/>
          <w:szCs w:val="24"/>
          <w:u w:val="single"/>
        </w:rPr>
      </w:pPr>
      <w:r>
        <w:rPr>
          <w:rFonts w:hint="eastAsia" w:ascii="仿宋" w:hAnsi="仿宋" w:cs="仿宋"/>
          <w:sz w:val="28"/>
          <w:szCs w:val="24"/>
        </w:rPr>
        <w:t>委托代理人（签字或盖章）：</w:t>
      </w:r>
    </w:p>
    <w:p>
      <w:pPr>
        <w:pStyle w:val="6"/>
        <w:spacing w:line="360" w:lineRule="auto"/>
        <w:ind w:firstLine="560" w:firstLineChars="200"/>
        <w:rPr>
          <w:rFonts w:ascii="仿宋" w:hAnsi="仿宋" w:cs="仿宋"/>
          <w:sz w:val="28"/>
          <w:szCs w:val="24"/>
        </w:rPr>
      </w:pPr>
      <w:r>
        <w:rPr>
          <w:rFonts w:hint="eastAsia" w:ascii="仿宋" w:hAnsi="仿宋" w:cs="仿宋"/>
          <w:bCs w:val="0"/>
          <w:sz w:val="28"/>
          <w:szCs w:val="24"/>
        </w:rPr>
        <w:t>身份证号码：</w:t>
      </w:r>
    </w:p>
    <w:p>
      <w:pPr>
        <w:spacing w:line="360" w:lineRule="auto"/>
        <w:ind w:firstLine="560" w:firstLineChars="200"/>
        <w:rPr>
          <w:rFonts w:ascii="仿宋" w:hAnsi="仿宋" w:cs="仿宋"/>
          <w:sz w:val="28"/>
          <w:szCs w:val="24"/>
        </w:rPr>
      </w:pPr>
      <w:r>
        <w:rPr>
          <w:rFonts w:hint="eastAsia" w:ascii="仿宋" w:hAnsi="仿宋" w:cs="仿宋"/>
          <w:sz w:val="28"/>
          <w:szCs w:val="24"/>
        </w:rPr>
        <w:t>日期：年月日</w:t>
      </w:r>
    </w:p>
    <w:p>
      <w:pPr>
        <w:spacing w:line="360" w:lineRule="auto"/>
        <w:ind w:firstLine="560" w:firstLineChars="200"/>
        <w:rPr>
          <w:rFonts w:ascii="仿宋" w:hAnsi="仿宋" w:cs="仿宋"/>
          <w:sz w:val="28"/>
          <w:szCs w:val="24"/>
        </w:rPr>
      </w:pPr>
    </w:p>
    <w:p>
      <w:pPr>
        <w:pStyle w:val="5"/>
        <w:spacing w:line="360" w:lineRule="auto"/>
        <w:ind w:firstLine="560"/>
        <w:rPr>
          <w:rFonts w:ascii="仿宋" w:hAnsi="仿宋" w:cs="仿宋"/>
          <w:sz w:val="28"/>
          <w:szCs w:val="24"/>
        </w:rPr>
      </w:pPr>
      <w:r>
        <w:rPr>
          <w:rFonts w:hint="eastAsia" w:ascii="仿宋" w:hAnsi="仿宋" w:cs="仿宋"/>
          <w:sz w:val="28"/>
          <w:szCs w:val="24"/>
        </w:rPr>
        <w:t>附：委托代理人身份证复印件（正、反两面）</w:t>
      </w:r>
      <w:bookmarkStart w:id="386" w:name="_Toc27522"/>
      <w:bookmarkStart w:id="387" w:name="_Toc20400"/>
      <w:bookmarkStart w:id="388" w:name="_Toc13353"/>
      <w:bookmarkStart w:id="389" w:name="_Toc7094"/>
      <w:bookmarkStart w:id="390" w:name="_Toc1421"/>
      <w:bookmarkStart w:id="391" w:name="_Toc25030"/>
    </w:p>
    <w:p>
      <w:pPr>
        <w:pStyle w:val="3"/>
      </w:pPr>
    </w:p>
    <w:p>
      <w:pPr>
        <w:pStyle w:val="3"/>
      </w:pPr>
    </w:p>
    <w:p>
      <w:pPr>
        <w:rPr>
          <w:sz w:val="28"/>
        </w:rPr>
      </w:pPr>
    </w:p>
    <w:p>
      <w:pPr>
        <w:rPr>
          <w:sz w:val="28"/>
        </w:rPr>
      </w:pPr>
    </w:p>
    <w:p>
      <w:pPr>
        <w:rPr>
          <w:sz w:val="28"/>
        </w:rPr>
      </w:pPr>
    </w:p>
    <w:p>
      <w:pPr>
        <w:rPr>
          <w:sz w:val="28"/>
        </w:rPr>
      </w:pPr>
    </w:p>
    <w:p>
      <w:pPr>
        <w:rPr>
          <w:sz w:val="28"/>
        </w:rPr>
      </w:pPr>
    </w:p>
    <w:p>
      <w:pPr>
        <w:rPr>
          <w:sz w:val="28"/>
        </w:rPr>
      </w:pPr>
    </w:p>
    <w:p>
      <w:pPr>
        <w:rPr>
          <w:sz w:val="28"/>
        </w:rPr>
      </w:pPr>
    </w:p>
    <w:p>
      <w:pPr>
        <w:rPr>
          <w:sz w:val="28"/>
        </w:rPr>
      </w:pPr>
    </w:p>
    <w:p>
      <w:pPr>
        <w:rPr>
          <w:sz w:val="28"/>
        </w:rPr>
      </w:pPr>
    </w:p>
    <w:p>
      <w:pPr>
        <w:rPr>
          <w:sz w:val="28"/>
        </w:rPr>
      </w:pPr>
    </w:p>
    <w:bookmarkEnd w:id="386"/>
    <w:bookmarkEnd w:id="387"/>
    <w:bookmarkEnd w:id="388"/>
    <w:bookmarkEnd w:id="389"/>
    <w:bookmarkEnd w:id="390"/>
    <w:bookmarkEnd w:id="391"/>
    <w:p>
      <w:pPr>
        <w:rPr>
          <w:sz w:val="28"/>
        </w:rPr>
      </w:pPr>
    </w:p>
    <w:p>
      <w:pPr>
        <w:pStyle w:val="3"/>
      </w:pPr>
      <w:r>
        <w:rPr>
          <w:rFonts w:hint="eastAsia"/>
        </w:rPr>
        <w:t>十三、购电代理服务方案</w:t>
      </w:r>
    </w:p>
    <w:p>
      <w:pPr>
        <w:snapToGrid w:val="0"/>
        <w:spacing w:line="360" w:lineRule="auto"/>
        <w:ind w:firstLine="465"/>
        <w:rPr>
          <w:rFonts w:ascii="仿宋" w:hAnsi="仿宋" w:cs="仿宋"/>
          <w:sz w:val="28"/>
          <w:szCs w:val="24"/>
        </w:rPr>
      </w:pPr>
      <w:r>
        <w:rPr>
          <w:rFonts w:hint="eastAsia" w:ascii="仿宋" w:hAnsi="仿宋" w:cs="仿宋"/>
          <w:sz w:val="28"/>
          <w:szCs w:val="24"/>
        </w:rPr>
        <w:t>供应商自行拟定</w:t>
      </w:r>
    </w:p>
    <w:p>
      <w:pPr>
        <w:pStyle w:val="26"/>
        <w:ind w:firstLine="0"/>
        <w:rPr>
          <w:rFonts w:ascii="仿宋" w:hAnsi="仿宋" w:cs="仿宋"/>
          <w:sz w:val="28"/>
          <w:szCs w:val="24"/>
        </w:rPr>
      </w:pPr>
    </w:p>
    <w:p>
      <w:pPr>
        <w:pStyle w:val="3"/>
      </w:pPr>
    </w:p>
    <w:p>
      <w:pPr>
        <w:pStyle w:val="3"/>
      </w:pPr>
      <w:r>
        <w:rPr>
          <w:rFonts w:hint="eastAsia"/>
        </w:rPr>
        <w:t>十四、服务质量承诺及措施方案</w:t>
      </w:r>
    </w:p>
    <w:p>
      <w:pPr>
        <w:snapToGrid w:val="0"/>
        <w:spacing w:line="360" w:lineRule="auto"/>
        <w:ind w:firstLine="465"/>
        <w:rPr>
          <w:rFonts w:ascii="仿宋" w:hAnsi="仿宋" w:cs="仿宋"/>
          <w:sz w:val="28"/>
          <w:szCs w:val="24"/>
        </w:rPr>
      </w:pPr>
      <w:r>
        <w:rPr>
          <w:rFonts w:hint="eastAsia" w:ascii="仿宋" w:hAnsi="仿宋" w:cs="仿宋"/>
          <w:sz w:val="28"/>
          <w:szCs w:val="24"/>
        </w:rPr>
        <w:t>供应商自行拟定</w:t>
      </w:r>
    </w:p>
    <w:p>
      <w:pPr>
        <w:pStyle w:val="3"/>
      </w:pPr>
    </w:p>
    <w:p>
      <w:pPr>
        <w:pStyle w:val="5"/>
        <w:ind w:firstLine="0" w:firstLineChars="0"/>
        <w:rPr>
          <w:rFonts w:ascii="仿宋" w:hAnsi="仿宋" w:cs="仿宋"/>
          <w:sz w:val="28"/>
          <w:szCs w:val="24"/>
        </w:rPr>
      </w:pPr>
    </w:p>
    <w:p>
      <w:pPr>
        <w:pStyle w:val="3"/>
      </w:pPr>
      <w:r>
        <w:rPr>
          <w:rFonts w:hint="eastAsia"/>
        </w:rPr>
        <w:t>十五、增值服务承诺</w:t>
      </w:r>
    </w:p>
    <w:p>
      <w:pPr>
        <w:snapToGrid w:val="0"/>
        <w:spacing w:line="360" w:lineRule="auto"/>
        <w:ind w:firstLine="465"/>
        <w:rPr>
          <w:rFonts w:ascii="仿宋" w:hAnsi="仿宋" w:cs="仿宋"/>
          <w:sz w:val="28"/>
          <w:szCs w:val="24"/>
        </w:rPr>
      </w:pPr>
      <w:r>
        <w:rPr>
          <w:rFonts w:hint="eastAsia" w:ascii="仿宋" w:hAnsi="仿宋" w:cs="仿宋"/>
          <w:sz w:val="28"/>
          <w:szCs w:val="24"/>
        </w:rPr>
        <w:t>供应商自行拟定</w:t>
      </w:r>
    </w:p>
    <w:p>
      <w:pPr>
        <w:rPr>
          <w:rFonts w:ascii="仿宋" w:hAnsi="仿宋" w:cs="仿宋"/>
          <w:sz w:val="28"/>
          <w:szCs w:val="24"/>
        </w:rPr>
      </w:pPr>
    </w:p>
    <w:p>
      <w:pPr>
        <w:pStyle w:val="5"/>
        <w:ind w:firstLine="560"/>
        <w:rPr>
          <w:rFonts w:ascii="仿宋" w:hAnsi="仿宋" w:cs="仿宋"/>
          <w:sz w:val="28"/>
          <w:szCs w:val="24"/>
        </w:rPr>
      </w:pPr>
    </w:p>
    <w:p>
      <w:pPr>
        <w:rPr>
          <w:rFonts w:ascii="仿宋" w:hAnsi="仿宋" w:cs="仿宋"/>
          <w:sz w:val="28"/>
          <w:szCs w:val="24"/>
        </w:rPr>
      </w:pPr>
    </w:p>
    <w:p>
      <w:pPr>
        <w:pStyle w:val="3"/>
      </w:pPr>
      <w:r>
        <w:rPr>
          <w:rFonts w:hint="eastAsia"/>
        </w:rPr>
        <w:t>十六、电量保证能力承诺</w:t>
      </w:r>
    </w:p>
    <w:p>
      <w:pPr>
        <w:snapToGrid w:val="0"/>
        <w:spacing w:line="360" w:lineRule="auto"/>
        <w:ind w:firstLine="465"/>
        <w:rPr>
          <w:rFonts w:ascii="仿宋" w:hAnsi="仿宋" w:cs="仿宋"/>
          <w:sz w:val="28"/>
          <w:szCs w:val="24"/>
        </w:rPr>
      </w:pPr>
      <w:r>
        <w:rPr>
          <w:rFonts w:hint="eastAsia" w:ascii="仿宋" w:hAnsi="仿宋" w:cs="仿宋"/>
          <w:sz w:val="28"/>
          <w:szCs w:val="24"/>
        </w:rPr>
        <w:t>供应商自行拟定</w:t>
      </w:r>
    </w:p>
    <w:p>
      <w:pPr>
        <w:pStyle w:val="6"/>
        <w:rPr>
          <w:rFonts w:ascii="仿宋" w:hAnsi="仿宋" w:cs="仿宋"/>
          <w:sz w:val="28"/>
          <w:szCs w:val="24"/>
        </w:rPr>
      </w:pPr>
    </w:p>
    <w:p>
      <w:pPr>
        <w:pStyle w:val="6"/>
        <w:rPr>
          <w:rFonts w:ascii="仿宋" w:hAnsi="仿宋" w:cs="仿宋"/>
          <w:sz w:val="28"/>
          <w:szCs w:val="24"/>
        </w:rPr>
      </w:pPr>
    </w:p>
    <w:p>
      <w:pPr>
        <w:pStyle w:val="3"/>
      </w:pPr>
      <w:r>
        <w:rPr>
          <w:rFonts w:hint="eastAsia"/>
        </w:rPr>
        <w:t>十七、近三年类似服务项目案例，且不少于5份同等规模的业绩合同证明材料及交易记录</w:t>
      </w:r>
    </w:p>
    <w:p>
      <w:pPr>
        <w:pStyle w:val="3"/>
      </w:pPr>
    </w:p>
    <w:p>
      <w:pPr>
        <w:pStyle w:val="3"/>
      </w:pPr>
    </w:p>
    <w:p>
      <w:pPr>
        <w:rPr>
          <w:sz w:val="28"/>
        </w:rPr>
      </w:pPr>
    </w:p>
    <w:p>
      <w:pPr>
        <w:rPr>
          <w:sz w:val="28"/>
        </w:rPr>
      </w:pPr>
    </w:p>
    <w:p>
      <w:pPr>
        <w:pStyle w:val="3"/>
      </w:pPr>
      <w:r>
        <w:rPr>
          <w:rFonts w:hint="eastAsia"/>
        </w:rPr>
        <w:t>十八、谈判采购文件要求和供应商认为需要提供的其它说明和资料</w:t>
      </w:r>
    </w:p>
    <w:p>
      <w:pPr>
        <w:rPr>
          <w:rFonts w:ascii="仿宋" w:hAnsi="仿宋" w:cs="仿宋"/>
        </w:rPr>
      </w:pPr>
    </w:p>
    <w:sectPr>
      <w:footerReference r:id="rId12" w:type="first"/>
      <w:footerReference r:id="rId11" w:type="default"/>
      <w:pgSz w:w="11906" w:h="16838"/>
      <w:pgMar w:top="1247" w:right="1247" w:bottom="1247" w:left="1247" w:header="851" w:footer="850" w:gutter="0"/>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spacing w:line="10" w:lineRule="exact"/>
      <w:rPr>
        <w:rFonts w:ascii="黑体" w:hAnsi="黑体" w:eastAsia="黑体" w:cs="黑体"/>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spacing w:line="10" w:lineRule="exact"/>
      <w:rPr>
        <w:rFonts w:ascii="黑体" w:hAnsi="黑体" w:eastAsia="黑体" w:cs="黑体"/>
        <w:sz w:val="2"/>
        <w:szCs w:val="2"/>
      </w:rPr>
    </w:pPr>
    <w:r>
      <w:rPr>
        <w:sz w:val="2"/>
      </w:rPr>
      <mc:AlternateContent>
        <mc:Choice Requires="wps">
          <w:drawing>
            <wp:anchor distT="0" distB="0" distL="114300" distR="114300" simplePos="0" relativeHeight="251663360" behindDoc="0" locked="0" layoutInCell="1" allowOverlap="1">
              <wp:simplePos x="0" y="0"/>
              <wp:positionH relativeFrom="margin">
                <wp:posOffset>2853690</wp:posOffset>
              </wp:positionH>
              <wp:positionV relativeFrom="paragraph">
                <wp:posOffset>-226060</wp:posOffset>
              </wp:positionV>
              <wp:extent cx="165100" cy="18288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65100" cy="182880"/>
                      </a:xfrm>
                      <a:prstGeom prst="rect">
                        <a:avLst/>
                      </a:prstGeom>
                      <a:noFill/>
                      <a:ln w="6350">
                        <a:noFill/>
                      </a:ln>
                      <a:effectLst/>
                    </wps:spPr>
                    <wps:txbx>
                      <w:txbxContent>
                        <w:p>
                          <w:pPr>
                            <w:snapToGrid w:val="0"/>
                            <w:rPr>
                              <w:rFonts w:ascii="仿宋" w:hAnsi="仿宋" w:cs="仿宋"/>
                              <w:b/>
                              <w:bCs/>
                              <w:sz w:val="20"/>
                              <w:szCs w:val="20"/>
                            </w:rPr>
                          </w:pPr>
                          <w:r>
                            <w:rPr>
                              <w:rFonts w:hint="eastAsia" w:ascii="仿宋" w:hAnsi="仿宋" w:cs="仿宋"/>
                              <w:b/>
                              <w:bCs/>
                              <w:sz w:val="20"/>
                              <w:szCs w:val="20"/>
                            </w:rPr>
                            <w:fldChar w:fldCharType="begin"/>
                          </w:r>
                          <w:r>
                            <w:rPr>
                              <w:rFonts w:hint="eastAsia" w:ascii="仿宋" w:hAnsi="仿宋" w:cs="仿宋"/>
                              <w:b/>
                              <w:bCs/>
                              <w:sz w:val="20"/>
                              <w:szCs w:val="20"/>
                            </w:rPr>
                            <w:instrText xml:space="preserve"> PAGE  \* MERGEFORMAT </w:instrText>
                          </w:r>
                          <w:r>
                            <w:rPr>
                              <w:rFonts w:hint="eastAsia" w:ascii="仿宋" w:hAnsi="仿宋" w:cs="仿宋"/>
                              <w:b/>
                              <w:bCs/>
                              <w:sz w:val="20"/>
                              <w:szCs w:val="20"/>
                            </w:rPr>
                            <w:fldChar w:fldCharType="separate"/>
                          </w:r>
                          <w:r>
                            <w:t>3</w:t>
                          </w:r>
                          <w:r>
                            <w:rPr>
                              <w:rFonts w:hint="eastAsia" w:ascii="仿宋" w:hAnsi="仿宋" w:cs="仿宋"/>
                              <w:b/>
                              <w:bCs/>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4.7pt;margin-top:-17.8pt;height:14.4pt;width:13pt;mso-position-horizontal-relative:margin;z-index:251663360;mso-width-relative:page;mso-height-relative:page;" filled="f" stroked="f" coordsize="21600,21600" o:gfxdata="UEsDBAoAAAAAAIdO4kAAAAAAAAAAAAAAAAAEAAAAZHJzL1BLAwQUAAAACACHTuJAwmHIvNkAAAAK&#10;AQAADwAAAGRycy9kb3ducmV2LnhtbE2Py07DMBBF90j8gzVI7Fo7kIYS4nTBYwcFCkiwc+IhifAj&#10;sp20/D3DCpZz5+jOmWpzsIbNGOLgnYRsKYCha70eXCfh9eVusQYWk3JaGe9QwjdG2NTHR5Uqtd+7&#10;Z5x3qWNU4mKpJPQpjSXnse3Rqrj0IzraffpgVaIxdFwHtadya/iZEAW3anB0oVcjXvfYfu0mK8G8&#10;x3DfiPQx33QP6emRT2+32VbK05NMXAFLeEh/MPzqkzrU5NT4yenIjIQ8v8wJlbA4XxXAiMgvVpQ0&#10;lBRr4HXF/79Q/wBQSwMEFAAAAAgAh07iQBcSdx8ZAgAAFQQAAA4AAABkcnMvZTJvRG9jLnhtbK1T&#10;zY7TMBC+I/EOlu806bJbVVXTVdlVEVLFrlQQZ9exG0u2x9huk/IA8AacuHDnufocjJ2mi4AT4mKP&#10;Pf/ffDO/7YwmB+GDAlvR8aikRFgOtbK7ir5/t3oxpSREZmumwYqKHkWgt4vnz+atm4kraEDXwhMM&#10;YsOsdRVtYnSzogi8EYaFEThhUSnBGxbx6XdF7VmL0Y0urspyUrTga+eBixDw975X0kWOL6Xg8UHK&#10;ICLRFcXaYj59PrfpLBZzNtt55hrFz2Wwf6jCMGUx6SXUPYuM7L36I5RR3EMAGUccTAFSKi5yD9jN&#10;uPytm03DnMi9IDjBXWAK/y8sf3t49ETVFb2mxDKDIzp9/XL69uP0/TO5TvC0LszQauPQLnavoMMx&#10;D/8BP1PXnfQm3dgPQT0CfbyAK7pIeHKa3IxL1HBUjadX02kGv3hydj7E1wIMSUJFPc4uQ8oO6xCx&#10;EDQdTFIuCyuldZ6ftqSt6OTlTZkdLhr00DbZisyEc5jUUF94kmK37c5dbqE+YpMeepYEx1cKS1mz&#10;EB+ZR1pg9Uj1+ICH1IAp4SxR0oD/9Lf/ZI/TQi0lLdKsouHjnnlBiX5jcY6Jk4PgB2E7CHZv7gCZ&#10;O8YlcjyL6OCjHkTpwXzADVimLKhilmOuisZBvIs92XGDuFgusxEyz7G4thvHU+gezOU+glQZ5wRL&#10;jwWCnh7IvQz/eU8SuX99Z6unbV78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MJhyLzZAAAACgEA&#10;AA8AAAAAAAAAAQAgAAAAIgAAAGRycy9kb3ducmV2LnhtbFBLAQIUABQAAAAIAIdO4kAXEncfGQIA&#10;ABUEAAAOAAAAAAAAAAEAIAAAACgBAABkcnMvZTJvRG9jLnhtbFBLBQYAAAAABgAGAFkBAACzBQAA&#10;AAA=&#10;">
              <v:fill on="f" focussize="0,0"/>
              <v:stroke on="f" weight="0.5pt"/>
              <v:imagedata o:title=""/>
              <o:lock v:ext="edit" aspectratio="f"/>
              <v:textbox inset="0mm,0mm,0mm,0mm">
                <w:txbxContent>
                  <w:p>
                    <w:pPr>
                      <w:snapToGrid w:val="0"/>
                      <w:rPr>
                        <w:rFonts w:ascii="仿宋" w:hAnsi="仿宋" w:cs="仿宋"/>
                        <w:b/>
                        <w:bCs/>
                        <w:sz w:val="20"/>
                        <w:szCs w:val="20"/>
                      </w:rPr>
                    </w:pPr>
                    <w:r>
                      <w:rPr>
                        <w:rFonts w:hint="eastAsia" w:ascii="仿宋" w:hAnsi="仿宋" w:cs="仿宋"/>
                        <w:b/>
                        <w:bCs/>
                        <w:sz w:val="20"/>
                        <w:szCs w:val="20"/>
                      </w:rPr>
                      <w:fldChar w:fldCharType="begin"/>
                    </w:r>
                    <w:r>
                      <w:rPr>
                        <w:rFonts w:hint="eastAsia" w:ascii="仿宋" w:hAnsi="仿宋" w:cs="仿宋"/>
                        <w:b/>
                        <w:bCs/>
                        <w:sz w:val="20"/>
                        <w:szCs w:val="20"/>
                      </w:rPr>
                      <w:instrText xml:space="preserve"> PAGE  \* MERGEFORMAT </w:instrText>
                    </w:r>
                    <w:r>
                      <w:rPr>
                        <w:rFonts w:hint="eastAsia" w:ascii="仿宋" w:hAnsi="仿宋" w:cs="仿宋"/>
                        <w:b/>
                        <w:bCs/>
                        <w:sz w:val="20"/>
                        <w:szCs w:val="20"/>
                      </w:rPr>
                      <w:fldChar w:fldCharType="separate"/>
                    </w:r>
                    <w:r>
                      <w:t>3</w:t>
                    </w:r>
                    <w:r>
                      <w:rPr>
                        <w:rFonts w:hint="eastAsia" w:ascii="仿宋" w:hAnsi="仿宋" w:cs="仿宋"/>
                        <w:b/>
                        <w:bCs/>
                        <w:sz w:val="20"/>
                        <w:szCs w:val="20"/>
                      </w:rPr>
                      <w:fldChar w:fldCharType="end"/>
                    </w:r>
                  </w:p>
                </w:txbxContent>
              </v:textbox>
            </v:shape>
          </w:pict>
        </mc:Fallback>
      </mc:AlternateContent>
    </w: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-285750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rFonts w:ascii="仿宋" w:hAnsi="仿宋" w:cs="仿宋"/>
                              <w:szCs w:val="24"/>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22.5pt;height:144pt;width:144pt;mso-position-horizontal:center;mso-position-horizontal-relative:margin;mso-wrap-style:none;z-index:251662336;mso-width-relative:page;mso-height-relative:page;" filled="f" stroked="f" coordsize="21600,21600" o:gfxdata="UEsDBAoAAAAAAIdO4kAAAAAAAAAAAAAAAAAEAAAAZHJzL1BLAwQUAAAACACHTuJAB7RN/dQAAAAI&#10;AQAADwAAAGRycy9kb3ducmV2LnhtbE2PwU7DMBBE70j8g7VI3FqnbUBRiFOJinBEouHA0Y2XJGCv&#10;I9tNw9+znOD2VjOanan2i7NixhBHTwo26wwEUufNSL2Ct7ZZFSBi0mS09YQKvjHCvr6+qnRp/IVe&#10;cT6mXnAIxVIrGFKaSiljN6DTce0nJNY+fHA68Rl6aYK+cLizcptl99LpkfjDoCc8DNh9Hc9OwaFp&#10;2zBjDPYdn5vd58tjjk+LUrc3m+wBRMIl/Znhtz5Xh5o7nfyZTBRWAQ9JClb5HQPL26JgODHkuwxk&#10;Xcn/A+ofUEsDBBQAAAAIAIdO4kAn2tj0FgIAABUEAAAOAAAAZHJzL2Uyb0RvYy54bWytU82O0zAQ&#10;viPxDpbvNGkRq27VdFV2VYRUsSsVxNl1nCaS/2S7TcoDwBtw4sKd5+pz8NlpumiXE+Jijz3jzzPf&#10;fDO/6ZQkB+F8Y3RBx6OcEqG5KRu9K+inj6tXU0p8YLpk0mhR0KPw9Gbx8sW8tTMxMbWRpXAEINrP&#10;WlvQOgQ7yzLPa6GYHxkrNJyVcYoFHN0uKx1rga5kNsnzq6w1rrTOcOE9bu96J10k/KoSPNxXlReB&#10;yIIit5BWl9ZtXLPFnM12jtm64ec02D9koVij8ekF6o4FRvaueQalGu6MN1UYcaMyU1UNF6kGVDPO&#10;n1SzqZkVqRaQ4+2FJv//YPmHw4MjTVnQa0o0U2jR6fu3049fp59fyXWkp7V+hqiNRVzo3poObR7u&#10;PS5j1V3lVNxRD4EfRB8v5IouEB4fTSfTaQ4Xh284AD97fG6dD++EUSQaBXXoXiKVHdY+9KFDSPxN&#10;m1UjZeqg1KQt6NXrN3l6cPEAXOoYK5IWzjCxpD71aIVu253r3JryiDKd6XXiLV81SGXNfHhgDsJA&#10;+hB7uMdSSYMvzdmipDbuy9/uYzz6BS8lLYRWUI1JoES+1+hj1ORguMHYDobeq1sD5Y4xRJYnEw9c&#10;kINZOaM+YwKW8Q+4mOb4qaBhMG9DL3ZMEBfLZQqC8iwLa72xPEJHerxd7gPoTCxHUnom0J14gPZS&#10;n85zEsX95zlFPU7z4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HtE391AAAAAgBAAAPAAAAAAAA&#10;AAEAIAAAACIAAABkcnMvZG93bnJldi54bWxQSwECFAAUAAAACACHTuJAJ9rY9BYCAAAVBAAADgAA&#10;AAAAAAABACAAAAAjAQAAZHJzL2Uyb0RvYy54bWxQSwUGAAAAAAYABgBZAQAAqwUAAAAA&#10;">
              <v:fill on="f" focussize="0,0"/>
              <v:stroke on="f" weight="0.5pt"/>
              <v:imagedata o:title=""/>
              <o:lock v:ext="edit" aspectratio="f"/>
              <v:textbox inset="0mm,0mm,0mm,0mm" style="mso-fit-shape-to-text:t;">
                <w:txbxContent>
                  <w:p>
                    <w:pPr>
                      <w:snapToGrid w:val="0"/>
                      <w:rPr>
                        <w:rFonts w:ascii="仿宋" w:hAnsi="仿宋" w:cs="仿宋"/>
                        <w:szCs w:val="24"/>
                      </w:rPr>
                    </w:pPr>
                  </w:p>
                </w:txbxContent>
              </v:textbox>
            </v:shape>
          </w:pict>
        </mc:Fallback>
      </mc:AlternateContent>
    </w:r>
    <w:r>
      <w:rPr>
        <w:sz w:val="2"/>
      </w:rPr>
      <mc:AlternateContent>
        <mc:Choice Requires="wps">
          <w:drawing>
            <wp:anchor distT="0" distB="0" distL="114300" distR="114300" simplePos="0" relativeHeight="251661312" behindDoc="0" locked="0" layoutInCell="1" allowOverlap="1">
              <wp:simplePos x="0" y="0"/>
              <wp:positionH relativeFrom="margin">
                <wp:posOffset>2650490</wp:posOffset>
              </wp:positionH>
              <wp:positionV relativeFrom="paragraph">
                <wp:posOffset>-428625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rFonts w:ascii="仿宋" w:hAnsi="仿宋" w:cs="仿宋"/>
                              <w:sz w:val="22"/>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8.7pt;margin-top:-33.75pt;height:144pt;width:144pt;mso-position-horizontal-relative:margin;mso-wrap-style:none;z-index:251661312;mso-width-relative:page;mso-height-relative:page;" filled="f" stroked="f" coordsize="21600,21600" o:gfxdata="UEsDBAoAAAAAAIdO4kAAAAAAAAAAAAAAAAAEAAAAZHJzL1BLAwQUAAAACACHTuJA+VIOG9gAAAAL&#10;AQAADwAAAGRycy9kb3ducmV2LnhtbE2PwU6EMBCG7ya+QzMm3nZbEBaDlE3ciEcTFw8eu3QElLak&#10;7bL49o4nPc7Ml3++v9qvZmIL+jA6KyHZCmBoO6dH20t4a5vNPbAQldVqchYlfGOAfX19ValSu4t9&#10;xeUYe0YhNpRKwhDjXHIeugGNCls3o6Xbh/NGRRp9z7VXFwo3E0+F2HGjRksfBjXjYcDu63g2Eg5N&#10;2/oFg5/e8bm5+3x5zPBplfL2JhEPwCKu8Q+GX31Sh5qcTu5sdWCThCwpMkIlbHZFDoyIQuS0OUlI&#10;U5EDryv+v0P9A1BLAwQUAAAACACHTuJAK3ipDRUCAAAVBAAADgAAAGRycy9lMm9Eb2MueG1srVPN&#10;jtMwEL4j8Q6W7zRpEVVVNV2VXRUhVexKBXF2HaeJ5D/ZbpPyAPAGnLhw57n6HHx2mi5i94S42GPP&#10;+PPMN98sbjolyVE43xhd0PEop0RobspG7wv66eP61YwSH5gumTRaFPQkPL1ZvnyxaO1cTExtZCkc&#10;AYj289YWtA7BzrPM81oo5kfGCg1nZZxiAUe3z0rHWqArmU3yfJq1xpXWGS68x+1d76TLhF9Vgof7&#10;qvIiEFlQ5BbS6tK6i2u2XLD53jFbN/ySBvuHLBRrND69Qt2xwMjBNU+gVMOd8aYKI25UZqqq4SLV&#10;gGrG+V/VbGtmRaoF5Hh7pcn/P1j+4fjgSFMWdEqJZgotOn//dv7x6/zzK5lGelrr54jaWsSF7q3p&#10;0Obh3uMyVt1VTsUd9RD4QfTpSq7oAuHx0Wwym+VwcfiGA/Czx+fW+fBOGEWiUVCH7iVS2XHjQx86&#10;hMTftFk3UqYOSk1alPD6TZ4eXD0AlzrGiqSFC0wsqU89WqHbdZc6d6Y8oUxnep14y9cNUtkwHx6Y&#10;gzCQPsQe7rFU0uBLc7EoqY378tx9jEe/4KWkhdAKqjEJlMj3Gn2MmhwMNxi7wdAHdWug3DGGyPJk&#10;4oELcjArZ9RnTMAq/gEX0xw/FTQM5m3oxY4J4mK1SkFQnmVho7eWR+hIj7erQwCdieVISs8EuhMP&#10;0F7q02VOorj/PKeox2le/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5Ug4b2AAAAAsBAAAPAAAA&#10;AAAAAAEAIAAAACIAAABkcnMvZG93bnJldi54bWxQSwECFAAUAAAACACHTuJAK3ipDRUCAAAVBAAA&#10;DgAAAAAAAAABACAAAAAnAQAAZHJzL2Uyb0RvYy54bWxQSwUGAAAAAAYABgBZAQAArgUAAAAA&#10;">
              <v:fill on="f" focussize="0,0"/>
              <v:stroke on="f" weight="0.5pt"/>
              <v:imagedata o:title=""/>
              <o:lock v:ext="edit" aspectratio="f"/>
              <v:textbox inset="0mm,0mm,0mm,0mm" style="mso-fit-shape-to-text:t;">
                <w:txbxContent>
                  <w:p>
                    <w:pPr>
                      <w:snapToGrid w:val="0"/>
                      <w:rPr>
                        <w:rFonts w:ascii="仿宋" w:hAnsi="仿宋" w:cs="仿宋"/>
                        <w:sz w:val="22"/>
                      </w:rPr>
                    </w:pPr>
                  </w:p>
                </w:txbxContent>
              </v:textbox>
            </v:shape>
          </w:pict>
        </mc:Fallback>
      </mc:AlternateContent>
    </w:r>
    <w:r>
      <w:rPr>
        <w:sz w:val="2"/>
      </w:rPr>
      <mc:AlternateContent>
        <mc:Choice Requires="wps">
          <w:drawing>
            <wp:anchor distT="0" distB="0" distL="114300" distR="114300" simplePos="0" relativeHeight="251660288" behindDoc="0" locked="0" layoutInCell="1" allowOverlap="1">
              <wp:simplePos x="0" y="0"/>
              <wp:positionH relativeFrom="margin">
                <wp:posOffset>2536825</wp:posOffset>
              </wp:positionH>
              <wp:positionV relativeFrom="paragraph">
                <wp:posOffset>-313055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rFonts w:ascii="宋体" w:hAnsi="宋体" w:cs="宋体"/>
                              <w:sz w:val="20"/>
                              <w:szCs w:val="2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9.75pt;margin-top:-24.65pt;height:144pt;width:144pt;mso-position-horizontal-relative:margin;mso-wrap-style:none;z-index:251660288;mso-width-relative:page;mso-height-relative:page;" filled="f" stroked="f" coordsize="21600,21600" o:gfxdata="UEsDBAoAAAAAAIdO4kAAAAAAAAAAAAAAAAAEAAAAZHJzL1BLAwQUAAAACACHTuJAF3vhm9kAAAAL&#10;AQAADwAAAGRycy9kb3ducmV2LnhtbE2Py07DMBBF90j8gzVI7FqnTWmTkEklKsISiYYFSzcekoAf&#10;ke2m4e8xK7qcmaM755b7WSs2kfODNQirZQKMTGvlYDqE96ZeZMB8EEYKZQ0h/JCHfXV7U4pC2ot5&#10;o+kYOhZDjC8EQh/CWHDu25608Es7kom3T+u0CHF0HZdOXGK4VnydJFuuxWDih16MdOip/T6eNcKh&#10;bho3kXfqg17q9Ov1aUPPM+L93Sp5BBZoDv8w/OlHdaii08mejfRMIaR5/hBRhMUmT4FFYpvt4uaE&#10;sE6zHfCq5Ncdql9QSwMEFAAAAAgAh07iQBDkVuwWAgAAFQQAAA4AAABkcnMvZTJvRG9jLnhtbK1T&#10;zY7TMBC+I/EOlu80aStWVdV0VXZVhFSxKxXE2XWcJpL/ZLtNygPAG3Diwp3n6nPsZ6fpIuCEuNhj&#10;z/jzzDffLG47JclRON8YXdDxKKdEaG7KRu8L+vHD+tWMEh+YLpk0WhT0JDy9Xb58sWjtXExMbWQp&#10;HAGI9vPWFrQOwc6zzPNaKOZHxgoNZ2WcYgFHt89Kx1qgK5lN8vwma40rrTNceI/b+95Jlwm/qgQP&#10;D1XlRSCyoMgtpNWldRfXbLlg871jtm74JQ32D1ko1mh8eoW6Z4GRg2v+gFINd8abKoy4UZmpqoaL&#10;VAOqGee/VbOtmRWpFpDj7ZUm//9g+fvjoyNNWdApJZoptOj87ev5+8/zjy9kGulprZ8jamsRF7o3&#10;pkObh3uPy1h1VzkVd9RD4AfRpyu5oguEx0ezyWyWw8XhGw7Az56fW+fDW2EUiUZBHbqXSGXHjQ99&#10;6BASf9Nm3UiZOig1aQt6M32dpwdXD8CljrEiaeECE0vqU49W6Hbdpc6dKU8o05leJ97ydYNUNsyH&#10;R+YgDKQPsYcHLJU0+NJcLEpq4z7/7T7Go1/wUtJCaAXVmARK5DuNPkZNDoYbjN1g6IO6M1DuGENk&#10;eTLxwAU5mJUz6hMmYBX/gItpjp8KGgbzLvRixwRxsVqlICjPsrDRW8sjdKTH29UhgM7EciSlZwLd&#10;iQdoL/XpMidR3L+eU9TzNC+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d74ZvZAAAACwEAAA8A&#10;AAAAAAAAAQAgAAAAIgAAAGRycy9kb3ducmV2LnhtbFBLAQIUABQAAAAIAIdO4kAQ5FbsFgIAABUE&#10;AAAOAAAAAAAAAAEAIAAAACgBAABkcnMvZTJvRG9jLnhtbFBLBQYAAAAABgAGAFkBAACwBQAAAAA=&#10;">
              <v:fill on="f" focussize="0,0"/>
              <v:stroke on="f" weight="0.5pt"/>
              <v:imagedata o:title=""/>
              <o:lock v:ext="edit" aspectratio="f"/>
              <v:textbox inset="0mm,0mm,0mm,0mm" style="mso-fit-shape-to-text:t;">
                <w:txbxContent>
                  <w:p>
                    <w:pPr>
                      <w:snapToGrid w:val="0"/>
                      <w:rPr>
                        <w:rFonts w:ascii="宋体" w:hAnsi="宋体" w:cs="宋体"/>
                        <w:sz w:val="20"/>
                        <w:szCs w:val="20"/>
                      </w:rPr>
                    </w:pPr>
                  </w:p>
                </w:txbxContent>
              </v:textbox>
            </v:shape>
          </w:pict>
        </mc:Fallback>
      </mc:AlternateContent>
    </w: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-405130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jc w:val="center"/>
                            <w:rPr>
                              <w:rFonts w:ascii="宋体" w:hAnsi="宋体" w:cs="宋体"/>
                              <w:sz w:val="22"/>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31.9pt;height:144pt;width:144pt;mso-position-horizontal:center;mso-position-horizontal-relative:margin;mso-wrap-style:none;z-index:251659264;mso-width-relative:page;mso-height-relative:page;" filled="f" stroked="f" coordsize="21600,21600" o:gfxdata="UEsDBAoAAAAAAIdO4kAAAAAAAAAAAAAAAAAEAAAAZHJzL1BLAwQUAAAACACHTuJAQavkRNUAAAAI&#10;AQAADwAAAGRycy9kb3ducmV2LnhtbE2PQU/DMAyF70j8h8hI3LZ03TRVpekkJsoRiZUDx6wxbSFx&#10;qiTryr/HnOBm+z09f686LM6KGUMcPSnYrDMQSJ03I/UK3tpmVYCISZPR1hMq+MYIh/r2ptKl8Vd6&#10;xfmUesEhFEutYEhpKqWM3YBOx7WfkFj78MHpxGvopQn6yuHOyjzL9tLpkfjDoCc8Dth9nS5OwbFp&#10;2zBjDPYdn5vt58vjDp8Wpe7vNtkDiIRL+jPDLz6jQ81MZ38hE4VVwEWSgtV+ywVYzouCL2ce8l0O&#10;sq7k/wL1D1BLAwQUAAAACACHTuJAlaJbrBUCAAAVBAAADgAAAGRycy9lMm9Eb2MueG1srVPNjtMw&#10;EL4j8Q6W7zRpEauoaroquypCqtiVCuLsOk4TyX+y3SblAeANOHHhznP1OfjsNF0EnBAXe+wZf575&#10;5pvFba8kOQrnW6NLOp3klAjNTdXqfUk/vF+/KCjxgemKSaNFSU/C09vl82eLzs7FzDRGVsIRgGg/&#10;72xJmxDsPMs8b4RifmKs0HDWxikWcHT7rHKsA7qS2SzPb7LOuMo6w4X3uL0fnHSZ8Ota8PBQ114E&#10;IkuK3EJaXVp3cc2WCzbfO2abll/SYP+QhWKtxqdXqHsWGDm49g8o1XJnvKnDhBuVmbpuuUg1oJpp&#10;/ls124ZZkWoBOd5eafL/D5a/Oz460lYlRaM0U2jR+euX87cf5++fSRHp6ayfI2prERf616ZHm8d7&#10;j8tYdV87FXfUQ+AH0acruaIPhMdHxawocrg4fOMB+NnTc+t8eCOMItEoqUP3EqnsuPFhCB1D4m/a&#10;rFspUwelJl1Jb16+ytODqwfgUsdYkbRwgYklDalHK/S7/lLnzlQnlOnMoBNv+bpFKhvmwyNzEAbS&#10;h9jDA5ZaGnxpLhYljXGf/nYf49EveCnpILSSakwCJfKtRh+jJkfDjcZuNPRB3Rkod4ohsjyZeOCC&#10;HM3aGfURE7CKf8DFNMdPJQ2jeRcGsWOCuFitUhCUZ1nY6K3lETrS4+3qEEBnYjmSMjCB7sQDtJf6&#10;dJmTKO5fzynqaZqX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Bq+RE1QAAAAgBAAAPAAAAAAAA&#10;AAEAIAAAACIAAABkcnMvZG93bnJldi54bWxQSwECFAAUAAAACACHTuJAlaJbrBUCAAAVBAAADgAA&#10;AAAAAAABACAAAAAkAQAAZHJzL2Uyb0RvYy54bWxQSwUGAAAAAAYABgBZAQAAqwUAAAAA&#10;">
              <v:fill on="f" focussize="0,0"/>
              <v:stroke on="f" weight="0.5pt"/>
              <v:imagedata o:title=""/>
              <o:lock v:ext="edit" aspectratio="f"/>
              <v:textbox inset="0mm,0mm,0mm,0mm" style="mso-fit-shape-to-text:t;">
                <w:txbxContent>
                  <w:p>
                    <w:pPr>
                      <w:snapToGrid w:val="0"/>
                      <w:jc w:val="center"/>
                      <w:rPr>
                        <w:rFonts w:ascii="宋体" w:hAnsi="宋体" w:cs="宋体"/>
                        <w:sz w:val="22"/>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4076205"/>
                          </w:sdtPr>
                          <w:sdtContent>
                            <w:p>
                              <w:pPr>
                                <w:pStyle w:val="10"/>
                                <w:jc w:val="center"/>
                              </w:pPr>
                              <w:r>
                                <w:fldChar w:fldCharType="begin"/>
                              </w:r>
                              <w:r>
                                <w:instrText xml:space="preserve"> PAGE   \* MERGEFORMAT </w:instrText>
                              </w:r>
                              <w:r>
                                <w:fldChar w:fldCharType="separate"/>
                              </w:r>
                              <w:r>
                                <w:rPr>
                                  <w:lang w:val="zh-CN"/>
                                </w:rPr>
                                <w:t>23</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AHpIaAgAAIQQAAA4AAABkcnMvZTJvRG9jLnhtbK1Ty47TMBTdI/EP&#10;lvc0mY4YVVXTUZlREVLFjFQQa9dxmkh+yXablA+AP2DFhj3f1e+YYyfpIGCF2NjXvu9zz13cdkqS&#10;o3C+MbqgV5OcEqG5KRu9L+jHD+tXM0p8YLpk0mhR0JPw9Hb58sWitXMxNbWRpXAEQbSft7agdQh2&#10;nmWe10IxPzFWaCgr4xQLeLp9VjrWIrqS2TTPb7LWuNI6w4X3+L3vlXSZ4leV4OGhqrwIRBYUtYV0&#10;unTu4pktF2y+d8zWDR/KYP9QhWKNRtJLqHsWGDm45o9QquHOeFOFCTcqM1XVcJF6QDdX+W/dbGtm&#10;ReoF4Hh7gcn/v7D8/fHRkabE7CjRTGFE529fz99/nn98IdcRntb6Oay2Fnahe2O6aDr8e3zGrrvK&#10;qXijHwI9gD5dwBVdIDw6zaazWQ4Vh258IE727G6dD2+FUSQKBXWYXgKVHTc+9KajScymzbqREv9s&#10;LjVpC3pz/TpPDhcNgksdDUTiwhAmttSXHqXQ7bqhn50pT2jTmZ4n3vJ1g1I2zIdH5kAMlA+yhwcc&#10;lTRIaQaJktq4z3/7j/aYF7SUtCBaQTU2gRL5TmOOkZOj4EZhNwr6oO4MmIvZoJYkwsEFOYqVM+oT&#10;NmAVc0DFNEemgoZRvAs92bFBXKxWyehgXbOvewew0LKw0VvLY5oIlberQwC0CfEIUI8KJhUf4GGa&#10;2bAzkei/vpPV82Yvn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eAAekhoCAAAhBAAADgAA&#10;AAAAAAABACAAAAAfAQAAZHJzL2Uyb0RvYy54bWxQSwUGAAAAAAYABgBZAQAAqwUAAAAA&#10;">
              <v:fill on="f" focussize="0,0"/>
              <v:stroke on="f" weight="0.5pt"/>
              <v:imagedata o:title=""/>
              <o:lock v:ext="edit" aspectratio="f"/>
              <v:textbox inset="0mm,0mm,0mm,0mm" style="mso-fit-shape-to-text:t;">
                <w:txbxContent>
                  <w:sdt>
                    <w:sdtPr>
                      <w:id w:val="4076205"/>
                    </w:sdtPr>
                    <w:sdtContent>
                      <w:p>
                        <w:pPr>
                          <w:pStyle w:val="10"/>
                          <w:jc w:val="center"/>
                        </w:pPr>
                        <w:r>
                          <w:fldChar w:fldCharType="begin"/>
                        </w:r>
                        <w:r>
                          <w:instrText xml:space="preserve"> PAGE   \* MERGEFORMAT </w:instrText>
                        </w:r>
                        <w:r>
                          <w:fldChar w:fldCharType="separate"/>
                        </w:r>
                        <w:r>
                          <w:rPr>
                            <w:lang w:val="zh-CN"/>
                          </w:rPr>
                          <w:t>23</w:t>
                        </w:r>
                        <w:r>
                          <w:rPr>
                            <w:lang w:val="zh-CN"/>
                          </w:rPr>
                          <w:fldChar w:fldCharType="end"/>
                        </w:r>
                      </w:p>
                    </w:sdtContent>
                  </w:sdt>
                  <w:p/>
                </w:txbxContent>
              </v:textbox>
            </v:shape>
          </w:pict>
        </mc:Fallback>
      </mc:AlternateContent>
    </w:r>
  </w:p>
  <w:p>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4076204"/>
                          </w:sdtPr>
                          <w:sdtContent>
                            <w:p>
                              <w:pPr>
                                <w:pStyle w:val="10"/>
                                <w:jc w:val="center"/>
                              </w:pPr>
                              <w:r>
                                <w:fldChar w:fldCharType="begin"/>
                              </w:r>
                              <w:r>
                                <w:instrText xml:space="preserve"> PAGE   \* MERGEFORMAT </w:instrText>
                              </w:r>
                              <w:r>
                                <w:fldChar w:fldCharType="separate"/>
                              </w:r>
                              <w:r>
                                <w:rPr>
                                  <w:lang w:val="zh-CN"/>
                                </w:rPr>
                                <w:t>9</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4EqEbAgAAIQQAAA4AAABkcnMvZTJvRG9jLnhtbK1TzW4TMRC+I/EO&#10;lu9kNwGqKMqmCq2CkCJaKSDOjtfOWrI9lu1kNzwAvAEnLtz7XHkOxt5sWhVOiIs99vx/8838ujOa&#10;HIQPCmxFx6OSEmE51MruKvr50+rVlJIQma2ZBisqehSBXi9evpi3biYm0ICuhScYxIZZ6yraxOhm&#10;RRF4IwwLI3DColKCNyzi0++K2rMWoxtdTMryqmjB184DFyHg722vpIscX0rB452UQUSiK4q1xXz6&#10;fG7TWSzmbLbzzDWKn8tg/1CFYcpi0kuoWxYZ2Xv1RyijuIcAMo44mAKkVFzkHrCbcfmsm03DnMi9&#10;IDjBXWAK/y8s/3i490TVFZ1QYpnBEZ1+fD/9fDj9+kbeJHhaF2ZotXFoF7t30OGYh/+An6nrTnqT&#10;buyHoB6BPl7AFV0kPDlNJ9NpiSqOuuGB8YtHd+dDfC/AkCRU1OP0MqjssA6xNx1MUjYLK6V1nqC2&#10;pK3o1eu3ZXa4aDC4tslWZC6cw6SW+tKTFLttd+5zC/UR2/TQ8yQ4vlJYypqFeM88EgPLR7LHOzyk&#10;BkwJZ4mSBvzXv/0ne5wXailpkWgVtbgJlOgPFueYODkIfhC2g2D35gaQuWNcIseziA4+6kGUHswX&#10;3IBlyoEqZjlmqmgcxJvYkx03iIvlMhvtnVe7pndAFjoW13bjeEqToApuuY8IbUY8AdSjgpNKD+Rh&#10;ntl5ZxLRn76z1eNmL3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Hw4EqEbAgAAIQQAAA4A&#10;AAAAAAAAAQAgAAAAHwEAAGRycy9lMm9Eb2MueG1sUEsFBgAAAAAGAAYAWQEAAKwFAAAAAA==&#10;">
              <v:fill on="f" focussize="0,0"/>
              <v:stroke on="f" weight="0.5pt"/>
              <v:imagedata o:title=""/>
              <o:lock v:ext="edit" aspectratio="f"/>
              <v:textbox inset="0mm,0mm,0mm,0mm" style="mso-fit-shape-to-text:t;">
                <w:txbxContent>
                  <w:sdt>
                    <w:sdtPr>
                      <w:id w:val="4076204"/>
                    </w:sdtPr>
                    <w:sdtContent>
                      <w:p>
                        <w:pPr>
                          <w:pStyle w:val="10"/>
                          <w:jc w:val="center"/>
                        </w:pPr>
                        <w:r>
                          <w:fldChar w:fldCharType="begin"/>
                        </w:r>
                        <w:r>
                          <w:instrText xml:space="preserve"> PAGE   \* MERGEFORMAT </w:instrText>
                        </w:r>
                        <w:r>
                          <w:fldChar w:fldCharType="separate"/>
                        </w:r>
                        <w:r>
                          <w:rPr>
                            <w:lang w:val="zh-CN"/>
                          </w:rPr>
                          <w:t>9</w:t>
                        </w:r>
                        <w:r>
                          <w:rPr>
                            <w:lang w:val="zh-CN"/>
                          </w:rPr>
                          <w:fldChar w:fldCharType="end"/>
                        </w:r>
                      </w:p>
                    </w:sdtContent>
                  </w:sdt>
                  <w:p/>
                </w:txbxContent>
              </v:textbox>
            </v:shape>
          </w:pict>
        </mc:Fallback>
      </mc:AlternateContent>
    </w:r>
  </w:p>
  <w:p>
    <w:pPr>
      <w:pStyle w:val="1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napToGrid w:val="0"/>
      <w:spacing w:beforeLines="50" w:afterLines="50" w:line="200" w:lineRule="exact"/>
      <w:ind w:firstLine="5678" w:firstLineChars="2704"/>
      <w:rPr>
        <w:rFonts w:ascii="Arial" w:hAnsi="Arial" w:cs="Arial"/>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1ZjRjMzFhM2YwNWYzYTg3M2QzM2ZjYWQ1MDQwOTAifQ=="/>
  </w:docVars>
  <w:rsids>
    <w:rsidRoot w:val="5AD66CA2"/>
    <w:rsid w:val="00036D73"/>
    <w:rsid w:val="00056D02"/>
    <w:rsid w:val="00080949"/>
    <w:rsid w:val="00083A06"/>
    <w:rsid w:val="000948BE"/>
    <w:rsid w:val="000A247F"/>
    <w:rsid w:val="000B13E5"/>
    <w:rsid w:val="000C547C"/>
    <w:rsid w:val="000D63FC"/>
    <w:rsid w:val="001054EC"/>
    <w:rsid w:val="00107D9C"/>
    <w:rsid w:val="00134550"/>
    <w:rsid w:val="00153E00"/>
    <w:rsid w:val="00170AA7"/>
    <w:rsid w:val="00173CD4"/>
    <w:rsid w:val="00183146"/>
    <w:rsid w:val="001869B6"/>
    <w:rsid w:val="001A0770"/>
    <w:rsid w:val="001A7E10"/>
    <w:rsid w:val="001C6A8E"/>
    <w:rsid w:val="001F3892"/>
    <w:rsid w:val="002268B6"/>
    <w:rsid w:val="00241D93"/>
    <w:rsid w:val="0026341F"/>
    <w:rsid w:val="002A067D"/>
    <w:rsid w:val="002A2421"/>
    <w:rsid w:val="002C6A74"/>
    <w:rsid w:val="002D6913"/>
    <w:rsid w:val="00304A2E"/>
    <w:rsid w:val="00317960"/>
    <w:rsid w:val="003363B7"/>
    <w:rsid w:val="00340686"/>
    <w:rsid w:val="00342F7D"/>
    <w:rsid w:val="00361BC6"/>
    <w:rsid w:val="00374631"/>
    <w:rsid w:val="00384431"/>
    <w:rsid w:val="00395864"/>
    <w:rsid w:val="0039643B"/>
    <w:rsid w:val="003B336F"/>
    <w:rsid w:val="003F18DB"/>
    <w:rsid w:val="003F55BE"/>
    <w:rsid w:val="003F5A08"/>
    <w:rsid w:val="003F7993"/>
    <w:rsid w:val="00427917"/>
    <w:rsid w:val="00434A48"/>
    <w:rsid w:val="00435DFE"/>
    <w:rsid w:val="00441A6C"/>
    <w:rsid w:val="00447C35"/>
    <w:rsid w:val="00460638"/>
    <w:rsid w:val="00476A2B"/>
    <w:rsid w:val="004941C1"/>
    <w:rsid w:val="004A5C4F"/>
    <w:rsid w:val="004C2945"/>
    <w:rsid w:val="004C48B5"/>
    <w:rsid w:val="004D56A3"/>
    <w:rsid w:val="004D6705"/>
    <w:rsid w:val="004D6958"/>
    <w:rsid w:val="00503A70"/>
    <w:rsid w:val="00525F54"/>
    <w:rsid w:val="00532AE8"/>
    <w:rsid w:val="0055370D"/>
    <w:rsid w:val="00554295"/>
    <w:rsid w:val="00581554"/>
    <w:rsid w:val="005835C5"/>
    <w:rsid w:val="00583C8A"/>
    <w:rsid w:val="005847DA"/>
    <w:rsid w:val="00586FEC"/>
    <w:rsid w:val="0059410B"/>
    <w:rsid w:val="00596EE1"/>
    <w:rsid w:val="005B306B"/>
    <w:rsid w:val="005B56A9"/>
    <w:rsid w:val="005D76B3"/>
    <w:rsid w:val="006155F6"/>
    <w:rsid w:val="00624D99"/>
    <w:rsid w:val="00624DEC"/>
    <w:rsid w:val="006808F6"/>
    <w:rsid w:val="006A2061"/>
    <w:rsid w:val="006B06ED"/>
    <w:rsid w:val="006B2610"/>
    <w:rsid w:val="006D2E89"/>
    <w:rsid w:val="006D4F71"/>
    <w:rsid w:val="006D590E"/>
    <w:rsid w:val="006D5ECA"/>
    <w:rsid w:val="006F2020"/>
    <w:rsid w:val="006F5F1E"/>
    <w:rsid w:val="00716B64"/>
    <w:rsid w:val="0072067B"/>
    <w:rsid w:val="00724C4F"/>
    <w:rsid w:val="00725076"/>
    <w:rsid w:val="007443A3"/>
    <w:rsid w:val="00752CDC"/>
    <w:rsid w:val="007635F6"/>
    <w:rsid w:val="007C10FD"/>
    <w:rsid w:val="007C2A58"/>
    <w:rsid w:val="00827AA8"/>
    <w:rsid w:val="00872D56"/>
    <w:rsid w:val="0089647C"/>
    <w:rsid w:val="008B4A58"/>
    <w:rsid w:val="008F3105"/>
    <w:rsid w:val="00930A11"/>
    <w:rsid w:val="009741FE"/>
    <w:rsid w:val="00975AC3"/>
    <w:rsid w:val="00984A8B"/>
    <w:rsid w:val="0099752A"/>
    <w:rsid w:val="009A22E9"/>
    <w:rsid w:val="009A3EE8"/>
    <w:rsid w:val="009B4A68"/>
    <w:rsid w:val="009B6163"/>
    <w:rsid w:val="009C6199"/>
    <w:rsid w:val="009D479C"/>
    <w:rsid w:val="00A12601"/>
    <w:rsid w:val="00A13CDA"/>
    <w:rsid w:val="00A21743"/>
    <w:rsid w:val="00A3156B"/>
    <w:rsid w:val="00A31FFC"/>
    <w:rsid w:val="00A45578"/>
    <w:rsid w:val="00A54ABE"/>
    <w:rsid w:val="00A608F9"/>
    <w:rsid w:val="00A63CDE"/>
    <w:rsid w:val="00A83B6C"/>
    <w:rsid w:val="00AA5097"/>
    <w:rsid w:val="00AD4D89"/>
    <w:rsid w:val="00AD6602"/>
    <w:rsid w:val="00AE4A03"/>
    <w:rsid w:val="00B02F63"/>
    <w:rsid w:val="00B10CE5"/>
    <w:rsid w:val="00B46E93"/>
    <w:rsid w:val="00B524CD"/>
    <w:rsid w:val="00B8554A"/>
    <w:rsid w:val="00B941AC"/>
    <w:rsid w:val="00BA3D43"/>
    <w:rsid w:val="00BB5535"/>
    <w:rsid w:val="00BC7EF9"/>
    <w:rsid w:val="00BE173B"/>
    <w:rsid w:val="00C11039"/>
    <w:rsid w:val="00C36524"/>
    <w:rsid w:val="00C57F15"/>
    <w:rsid w:val="00C61232"/>
    <w:rsid w:val="00C6765D"/>
    <w:rsid w:val="00C71250"/>
    <w:rsid w:val="00CA37EF"/>
    <w:rsid w:val="00CA4A93"/>
    <w:rsid w:val="00CD3D20"/>
    <w:rsid w:val="00CE7A74"/>
    <w:rsid w:val="00D07061"/>
    <w:rsid w:val="00D115E6"/>
    <w:rsid w:val="00D222E5"/>
    <w:rsid w:val="00D258C9"/>
    <w:rsid w:val="00D34EB3"/>
    <w:rsid w:val="00D47578"/>
    <w:rsid w:val="00D6785B"/>
    <w:rsid w:val="00D90033"/>
    <w:rsid w:val="00D9637F"/>
    <w:rsid w:val="00DB2BF9"/>
    <w:rsid w:val="00DE6EE0"/>
    <w:rsid w:val="00DF325C"/>
    <w:rsid w:val="00E52DA1"/>
    <w:rsid w:val="00E603F3"/>
    <w:rsid w:val="00E634D4"/>
    <w:rsid w:val="00E74BD8"/>
    <w:rsid w:val="00E84577"/>
    <w:rsid w:val="00EC26C4"/>
    <w:rsid w:val="00EC34C6"/>
    <w:rsid w:val="00EC44CF"/>
    <w:rsid w:val="00ED7169"/>
    <w:rsid w:val="00ED741C"/>
    <w:rsid w:val="00EF0A92"/>
    <w:rsid w:val="00F21786"/>
    <w:rsid w:val="00F23320"/>
    <w:rsid w:val="00F37616"/>
    <w:rsid w:val="00F400AF"/>
    <w:rsid w:val="00F42DF8"/>
    <w:rsid w:val="00F47DF1"/>
    <w:rsid w:val="00F62AB7"/>
    <w:rsid w:val="00F812A5"/>
    <w:rsid w:val="00F82775"/>
    <w:rsid w:val="00F83F4A"/>
    <w:rsid w:val="00F929D4"/>
    <w:rsid w:val="00FA5369"/>
    <w:rsid w:val="00FD583B"/>
    <w:rsid w:val="00FE4BA2"/>
    <w:rsid w:val="00FF0F00"/>
    <w:rsid w:val="01085751"/>
    <w:rsid w:val="01975764"/>
    <w:rsid w:val="01EB68FC"/>
    <w:rsid w:val="02111B48"/>
    <w:rsid w:val="021F4265"/>
    <w:rsid w:val="032514D7"/>
    <w:rsid w:val="0345309E"/>
    <w:rsid w:val="03B60BF9"/>
    <w:rsid w:val="04820ADC"/>
    <w:rsid w:val="04C80C77"/>
    <w:rsid w:val="04DF79EF"/>
    <w:rsid w:val="051977C2"/>
    <w:rsid w:val="051E4594"/>
    <w:rsid w:val="05290F57"/>
    <w:rsid w:val="052A37DA"/>
    <w:rsid w:val="052F5196"/>
    <w:rsid w:val="05454782"/>
    <w:rsid w:val="05780B56"/>
    <w:rsid w:val="05947C79"/>
    <w:rsid w:val="05A30D0A"/>
    <w:rsid w:val="06362943"/>
    <w:rsid w:val="065E4C1C"/>
    <w:rsid w:val="06845027"/>
    <w:rsid w:val="06CC4290"/>
    <w:rsid w:val="06D66EBD"/>
    <w:rsid w:val="07293490"/>
    <w:rsid w:val="07402ACD"/>
    <w:rsid w:val="07A80859"/>
    <w:rsid w:val="07B66D8F"/>
    <w:rsid w:val="07CF5DE6"/>
    <w:rsid w:val="07EA7707"/>
    <w:rsid w:val="07FC3674"/>
    <w:rsid w:val="083C05A3"/>
    <w:rsid w:val="085F5373"/>
    <w:rsid w:val="08D37B58"/>
    <w:rsid w:val="08EF6757"/>
    <w:rsid w:val="09D37BC5"/>
    <w:rsid w:val="09DF1D71"/>
    <w:rsid w:val="0A4707FD"/>
    <w:rsid w:val="0A917CCA"/>
    <w:rsid w:val="0AD028F9"/>
    <w:rsid w:val="0B883EC9"/>
    <w:rsid w:val="0BC4377B"/>
    <w:rsid w:val="0C324B95"/>
    <w:rsid w:val="0C640DEF"/>
    <w:rsid w:val="0CCA593D"/>
    <w:rsid w:val="0CCB23AD"/>
    <w:rsid w:val="0CD14749"/>
    <w:rsid w:val="0CE916F8"/>
    <w:rsid w:val="0D06669E"/>
    <w:rsid w:val="0D6B7889"/>
    <w:rsid w:val="0D7731A8"/>
    <w:rsid w:val="0DB8731C"/>
    <w:rsid w:val="0DE15FD5"/>
    <w:rsid w:val="0DF81AB7"/>
    <w:rsid w:val="0E576B35"/>
    <w:rsid w:val="0F022F45"/>
    <w:rsid w:val="0F5966F2"/>
    <w:rsid w:val="0FC770EF"/>
    <w:rsid w:val="10525806"/>
    <w:rsid w:val="10991687"/>
    <w:rsid w:val="113325A7"/>
    <w:rsid w:val="114A472F"/>
    <w:rsid w:val="114E27DF"/>
    <w:rsid w:val="11F81EC5"/>
    <w:rsid w:val="121A5B32"/>
    <w:rsid w:val="122B4561"/>
    <w:rsid w:val="125C0BBE"/>
    <w:rsid w:val="12F928B1"/>
    <w:rsid w:val="13347445"/>
    <w:rsid w:val="13741F37"/>
    <w:rsid w:val="13E73A9D"/>
    <w:rsid w:val="143E4B40"/>
    <w:rsid w:val="145D78AE"/>
    <w:rsid w:val="14B97AE2"/>
    <w:rsid w:val="14C111AC"/>
    <w:rsid w:val="150E7FA5"/>
    <w:rsid w:val="15C03212"/>
    <w:rsid w:val="15DD2C26"/>
    <w:rsid w:val="16104106"/>
    <w:rsid w:val="16301FF7"/>
    <w:rsid w:val="166070C4"/>
    <w:rsid w:val="16734728"/>
    <w:rsid w:val="169E6DA8"/>
    <w:rsid w:val="174F1F61"/>
    <w:rsid w:val="17C829CE"/>
    <w:rsid w:val="17D631C0"/>
    <w:rsid w:val="1824217E"/>
    <w:rsid w:val="18702E37"/>
    <w:rsid w:val="18B63AC0"/>
    <w:rsid w:val="19F142E2"/>
    <w:rsid w:val="1A7D5B75"/>
    <w:rsid w:val="1AD11A1D"/>
    <w:rsid w:val="1B087B35"/>
    <w:rsid w:val="1B123564"/>
    <w:rsid w:val="1B37398D"/>
    <w:rsid w:val="1B856B54"/>
    <w:rsid w:val="1B883014"/>
    <w:rsid w:val="1BC53494"/>
    <w:rsid w:val="1C447E6E"/>
    <w:rsid w:val="1C45352C"/>
    <w:rsid w:val="1C5D17BA"/>
    <w:rsid w:val="1CAB6F4F"/>
    <w:rsid w:val="1D274375"/>
    <w:rsid w:val="1F386298"/>
    <w:rsid w:val="1FD844C6"/>
    <w:rsid w:val="20504EE9"/>
    <w:rsid w:val="2096173F"/>
    <w:rsid w:val="21061AC9"/>
    <w:rsid w:val="2136403C"/>
    <w:rsid w:val="219043E0"/>
    <w:rsid w:val="21D62A8B"/>
    <w:rsid w:val="21EA7F94"/>
    <w:rsid w:val="22274D44"/>
    <w:rsid w:val="22565E98"/>
    <w:rsid w:val="22D96306"/>
    <w:rsid w:val="23072FE5"/>
    <w:rsid w:val="233814FA"/>
    <w:rsid w:val="23490CEA"/>
    <w:rsid w:val="23943321"/>
    <w:rsid w:val="24125374"/>
    <w:rsid w:val="24132978"/>
    <w:rsid w:val="24151E43"/>
    <w:rsid w:val="2439777E"/>
    <w:rsid w:val="24747FE9"/>
    <w:rsid w:val="24A0493A"/>
    <w:rsid w:val="24CA58E3"/>
    <w:rsid w:val="24E7000E"/>
    <w:rsid w:val="24F66115"/>
    <w:rsid w:val="252029B8"/>
    <w:rsid w:val="253F55D6"/>
    <w:rsid w:val="25512A44"/>
    <w:rsid w:val="255C50FC"/>
    <w:rsid w:val="26527EB6"/>
    <w:rsid w:val="27197986"/>
    <w:rsid w:val="281A0EA7"/>
    <w:rsid w:val="2874177C"/>
    <w:rsid w:val="28920A3E"/>
    <w:rsid w:val="28EC1F83"/>
    <w:rsid w:val="29926EF5"/>
    <w:rsid w:val="29E259F5"/>
    <w:rsid w:val="2A871005"/>
    <w:rsid w:val="2B3A1BFB"/>
    <w:rsid w:val="2B6313CB"/>
    <w:rsid w:val="2B7168E7"/>
    <w:rsid w:val="2BB774C0"/>
    <w:rsid w:val="2C072245"/>
    <w:rsid w:val="2C214660"/>
    <w:rsid w:val="2C7A0008"/>
    <w:rsid w:val="2CA221E9"/>
    <w:rsid w:val="2D8E5D42"/>
    <w:rsid w:val="2E384431"/>
    <w:rsid w:val="2E5E3A03"/>
    <w:rsid w:val="2E9D1EEA"/>
    <w:rsid w:val="2F343A55"/>
    <w:rsid w:val="2F3614F9"/>
    <w:rsid w:val="2F8F264B"/>
    <w:rsid w:val="2FD46EC8"/>
    <w:rsid w:val="2FFE314D"/>
    <w:rsid w:val="300A70A8"/>
    <w:rsid w:val="303F4DF8"/>
    <w:rsid w:val="306F7E1F"/>
    <w:rsid w:val="31615600"/>
    <w:rsid w:val="318F6462"/>
    <w:rsid w:val="319C0CEA"/>
    <w:rsid w:val="31A16195"/>
    <w:rsid w:val="31F52564"/>
    <w:rsid w:val="320F4EAD"/>
    <w:rsid w:val="321D581C"/>
    <w:rsid w:val="324178CF"/>
    <w:rsid w:val="325B4D23"/>
    <w:rsid w:val="327244F5"/>
    <w:rsid w:val="32852601"/>
    <w:rsid w:val="32B90BA5"/>
    <w:rsid w:val="32E4272E"/>
    <w:rsid w:val="33130ECB"/>
    <w:rsid w:val="33321433"/>
    <w:rsid w:val="333D3C9C"/>
    <w:rsid w:val="333D4F79"/>
    <w:rsid w:val="33501224"/>
    <w:rsid w:val="33511A6E"/>
    <w:rsid w:val="336D632F"/>
    <w:rsid w:val="338048CA"/>
    <w:rsid w:val="33A8162D"/>
    <w:rsid w:val="33CC5D95"/>
    <w:rsid w:val="342A1F36"/>
    <w:rsid w:val="34301672"/>
    <w:rsid w:val="34402563"/>
    <w:rsid w:val="34467899"/>
    <w:rsid w:val="34D0301A"/>
    <w:rsid w:val="35A970CC"/>
    <w:rsid w:val="35B76F37"/>
    <w:rsid w:val="35C2256B"/>
    <w:rsid w:val="360674C9"/>
    <w:rsid w:val="3628478F"/>
    <w:rsid w:val="3652180C"/>
    <w:rsid w:val="366003CD"/>
    <w:rsid w:val="367125DA"/>
    <w:rsid w:val="36A42101"/>
    <w:rsid w:val="36B54BF8"/>
    <w:rsid w:val="372C02AF"/>
    <w:rsid w:val="374B4BD9"/>
    <w:rsid w:val="3760535D"/>
    <w:rsid w:val="37CD4314"/>
    <w:rsid w:val="37EB7945"/>
    <w:rsid w:val="380D00E1"/>
    <w:rsid w:val="389F4A2A"/>
    <w:rsid w:val="392016C6"/>
    <w:rsid w:val="392B4CC2"/>
    <w:rsid w:val="39557F91"/>
    <w:rsid w:val="39930ABA"/>
    <w:rsid w:val="39DF28E3"/>
    <w:rsid w:val="3A292D2C"/>
    <w:rsid w:val="3A622232"/>
    <w:rsid w:val="3A6A0CCC"/>
    <w:rsid w:val="3AB26D1E"/>
    <w:rsid w:val="3ADE3A4D"/>
    <w:rsid w:val="3BD170F0"/>
    <w:rsid w:val="3C8A1D00"/>
    <w:rsid w:val="3C97328C"/>
    <w:rsid w:val="3CB1693F"/>
    <w:rsid w:val="3CB21257"/>
    <w:rsid w:val="3DCC2EB6"/>
    <w:rsid w:val="3E164A29"/>
    <w:rsid w:val="3E3514CB"/>
    <w:rsid w:val="3E5A1BA6"/>
    <w:rsid w:val="3E8A361F"/>
    <w:rsid w:val="3F1A6C3D"/>
    <w:rsid w:val="405F5A4E"/>
    <w:rsid w:val="408502E8"/>
    <w:rsid w:val="40856CA9"/>
    <w:rsid w:val="40A93B94"/>
    <w:rsid w:val="412C1E99"/>
    <w:rsid w:val="41362456"/>
    <w:rsid w:val="413B4C25"/>
    <w:rsid w:val="4146681B"/>
    <w:rsid w:val="42156510"/>
    <w:rsid w:val="42DA1507"/>
    <w:rsid w:val="42F30F34"/>
    <w:rsid w:val="43193DDE"/>
    <w:rsid w:val="4346094B"/>
    <w:rsid w:val="435A582F"/>
    <w:rsid w:val="43784FA8"/>
    <w:rsid w:val="43A60B8B"/>
    <w:rsid w:val="43B43B06"/>
    <w:rsid w:val="43C001B5"/>
    <w:rsid w:val="43D12BC1"/>
    <w:rsid w:val="43D76A75"/>
    <w:rsid w:val="43F62F09"/>
    <w:rsid w:val="4444394E"/>
    <w:rsid w:val="445350CD"/>
    <w:rsid w:val="4467501D"/>
    <w:rsid w:val="44A042A4"/>
    <w:rsid w:val="44AB315B"/>
    <w:rsid w:val="44C32DBB"/>
    <w:rsid w:val="44DA711D"/>
    <w:rsid w:val="450D34CE"/>
    <w:rsid w:val="45950612"/>
    <w:rsid w:val="45ED119A"/>
    <w:rsid w:val="45FF375F"/>
    <w:rsid w:val="465B4592"/>
    <w:rsid w:val="46734886"/>
    <w:rsid w:val="468A0399"/>
    <w:rsid w:val="469C69CB"/>
    <w:rsid w:val="46C44060"/>
    <w:rsid w:val="46ED1CFF"/>
    <w:rsid w:val="475E34B9"/>
    <w:rsid w:val="47E86474"/>
    <w:rsid w:val="480B417A"/>
    <w:rsid w:val="480D460A"/>
    <w:rsid w:val="48687777"/>
    <w:rsid w:val="49BD0406"/>
    <w:rsid w:val="49D60DAC"/>
    <w:rsid w:val="49DB25DA"/>
    <w:rsid w:val="49DB745E"/>
    <w:rsid w:val="49F904C5"/>
    <w:rsid w:val="4A271167"/>
    <w:rsid w:val="4A317FAA"/>
    <w:rsid w:val="4A7364C9"/>
    <w:rsid w:val="4B7C0574"/>
    <w:rsid w:val="4C004579"/>
    <w:rsid w:val="4C06511B"/>
    <w:rsid w:val="4C1F503D"/>
    <w:rsid w:val="4C5B5467"/>
    <w:rsid w:val="4C73622A"/>
    <w:rsid w:val="4CAD4014"/>
    <w:rsid w:val="4CED7E15"/>
    <w:rsid w:val="4D9F75D5"/>
    <w:rsid w:val="4DE33966"/>
    <w:rsid w:val="4E241889"/>
    <w:rsid w:val="4EC1613B"/>
    <w:rsid w:val="4ED96B17"/>
    <w:rsid w:val="4F01685E"/>
    <w:rsid w:val="4F5C25C9"/>
    <w:rsid w:val="4F791777"/>
    <w:rsid w:val="4F7B3430"/>
    <w:rsid w:val="50062DD9"/>
    <w:rsid w:val="50716B01"/>
    <w:rsid w:val="50830AE8"/>
    <w:rsid w:val="508703E0"/>
    <w:rsid w:val="50BB4726"/>
    <w:rsid w:val="5138070E"/>
    <w:rsid w:val="518A5142"/>
    <w:rsid w:val="51B76F1C"/>
    <w:rsid w:val="51E14F57"/>
    <w:rsid w:val="51FC5570"/>
    <w:rsid w:val="528E51DF"/>
    <w:rsid w:val="52E448CC"/>
    <w:rsid w:val="531B197A"/>
    <w:rsid w:val="531C3DD8"/>
    <w:rsid w:val="539D6365"/>
    <w:rsid w:val="53CE562F"/>
    <w:rsid w:val="53CE7D56"/>
    <w:rsid w:val="53F73CC7"/>
    <w:rsid w:val="53FC2BBB"/>
    <w:rsid w:val="53FC7156"/>
    <w:rsid w:val="543016F6"/>
    <w:rsid w:val="54375B73"/>
    <w:rsid w:val="54387E3C"/>
    <w:rsid w:val="54610A78"/>
    <w:rsid w:val="548D1F04"/>
    <w:rsid w:val="54AF7148"/>
    <w:rsid w:val="54F7763E"/>
    <w:rsid w:val="55126C9E"/>
    <w:rsid w:val="5552418A"/>
    <w:rsid w:val="55715A18"/>
    <w:rsid w:val="55AE2FE0"/>
    <w:rsid w:val="562D028C"/>
    <w:rsid w:val="56542506"/>
    <w:rsid w:val="56FF2028"/>
    <w:rsid w:val="570B2ADF"/>
    <w:rsid w:val="57213F32"/>
    <w:rsid w:val="572F19CA"/>
    <w:rsid w:val="57325016"/>
    <w:rsid w:val="5735569F"/>
    <w:rsid w:val="574C59BE"/>
    <w:rsid w:val="57643855"/>
    <w:rsid w:val="57767FCB"/>
    <w:rsid w:val="57895396"/>
    <w:rsid w:val="57AE601F"/>
    <w:rsid w:val="5801432C"/>
    <w:rsid w:val="5806097D"/>
    <w:rsid w:val="58553605"/>
    <w:rsid w:val="585C6C04"/>
    <w:rsid w:val="58717EFC"/>
    <w:rsid w:val="58B84377"/>
    <w:rsid w:val="58EA204C"/>
    <w:rsid w:val="58EA249C"/>
    <w:rsid w:val="58EE5B32"/>
    <w:rsid w:val="59462FFB"/>
    <w:rsid w:val="594E05DD"/>
    <w:rsid w:val="5A151289"/>
    <w:rsid w:val="5ABF12B7"/>
    <w:rsid w:val="5ACC0066"/>
    <w:rsid w:val="5AD66CA2"/>
    <w:rsid w:val="5B045C34"/>
    <w:rsid w:val="5B417F1E"/>
    <w:rsid w:val="5BC052E6"/>
    <w:rsid w:val="5CBF559E"/>
    <w:rsid w:val="5D146445"/>
    <w:rsid w:val="5D331C41"/>
    <w:rsid w:val="5D443CF5"/>
    <w:rsid w:val="5D79399F"/>
    <w:rsid w:val="5DA768D4"/>
    <w:rsid w:val="5DD466D4"/>
    <w:rsid w:val="5E1B2CA8"/>
    <w:rsid w:val="5E224037"/>
    <w:rsid w:val="5E3D43E9"/>
    <w:rsid w:val="5E7728A4"/>
    <w:rsid w:val="5E9F5041"/>
    <w:rsid w:val="5EF2104C"/>
    <w:rsid w:val="5EFA359F"/>
    <w:rsid w:val="5EFD2ABF"/>
    <w:rsid w:val="5F56073B"/>
    <w:rsid w:val="5F56421A"/>
    <w:rsid w:val="60430294"/>
    <w:rsid w:val="60444465"/>
    <w:rsid w:val="60511079"/>
    <w:rsid w:val="605821D7"/>
    <w:rsid w:val="608E7761"/>
    <w:rsid w:val="60B45563"/>
    <w:rsid w:val="60DA29A7"/>
    <w:rsid w:val="610A2B60"/>
    <w:rsid w:val="6130130E"/>
    <w:rsid w:val="61D5316E"/>
    <w:rsid w:val="621452EA"/>
    <w:rsid w:val="62894684"/>
    <w:rsid w:val="6367429A"/>
    <w:rsid w:val="63852ED6"/>
    <w:rsid w:val="64186987"/>
    <w:rsid w:val="64405EF8"/>
    <w:rsid w:val="64D15E74"/>
    <w:rsid w:val="64FD3107"/>
    <w:rsid w:val="655645C6"/>
    <w:rsid w:val="65BE2EEA"/>
    <w:rsid w:val="66E76BF6"/>
    <w:rsid w:val="6732696D"/>
    <w:rsid w:val="678F587A"/>
    <w:rsid w:val="67FE0A1E"/>
    <w:rsid w:val="68985992"/>
    <w:rsid w:val="69561CE9"/>
    <w:rsid w:val="69587064"/>
    <w:rsid w:val="695E5E3C"/>
    <w:rsid w:val="6A8D126F"/>
    <w:rsid w:val="6A95793E"/>
    <w:rsid w:val="6AD40A82"/>
    <w:rsid w:val="6B2A277C"/>
    <w:rsid w:val="6B7E6624"/>
    <w:rsid w:val="6BE90122"/>
    <w:rsid w:val="6C727F37"/>
    <w:rsid w:val="6CDC15AF"/>
    <w:rsid w:val="6CE520C1"/>
    <w:rsid w:val="6CE93F71"/>
    <w:rsid w:val="6D0042F8"/>
    <w:rsid w:val="6D9E2FAE"/>
    <w:rsid w:val="6DB00DE2"/>
    <w:rsid w:val="6DE676B1"/>
    <w:rsid w:val="6DE75249"/>
    <w:rsid w:val="6E641B01"/>
    <w:rsid w:val="6E865F1C"/>
    <w:rsid w:val="6E9F3DCD"/>
    <w:rsid w:val="6EB92251"/>
    <w:rsid w:val="6EEB76D5"/>
    <w:rsid w:val="6F332872"/>
    <w:rsid w:val="6F502086"/>
    <w:rsid w:val="6F5B208E"/>
    <w:rsid w:val="6F5E5FF6"/>
    <w:rsid w:val="6FDB5DF3"/>
    <w:rsid w:val="703478B6"/>
    <w:rsid w:val="711461F7"/>
    <w:rsid w:val="7128150C"/>
    <w:rsid w:val="717C3606"/>
    <w:rsid w:val="719B56EF"/>
    <w:rsid w:val="71A469C4"/>
    <w:rsid w:val="71B50BEF"/>
    <w:rsid w:val="71B96608"/>
    <w:rsid w:val="72246A65"/>
    <w:rsid w:val="72735F0C"/>
    <w:rsid w:val="72E2393D"/>
    <w:rsid w:val="7348144C"/>
    <w:rsid w:val="737E18B7"/>
    <w:rsid w:val="73840DB4"/>
    <w:rsid w:val="73A455CC"/>
    <w:rsid w:val="73CD0149"/>
    <w:rsid w:val="74357C6A"/>
    <w:rsid w:val="74370445"/>
    <w:rsid w:val="74410D42"/>
    <w:rsid w:val="74A76BEC"/>
    <w:rsid w:val="74A964C0"/>
    <w:rsid w:val="753F177D"/>
    <w:rsid w:val="755C0F98"/>
    <w:rsid w:val="75640639"/>
    <w:rsid w:val="762C1C95"/>
    <w:rsid w:val="77162B03"/>
    <w:rsid w:val="773F4051"/>
    <w:rsid w:val="77701517"/>
    <w:rsid w:val="778810E8"/>
    <w:rsid w:val="77DE19A9"/>
    <w:rsid w:val="781A214F"/>
    <w:rsid w:val="78462278"/>
    <w:rsid w:val="78782D79"/>
    <w:rsid w:val="78854AFF"/>
    <w:rsid w:val="78AD22F7"/>
    <w:rsid w:val="78BB0EB8"/>
    <w:rsid w:val="78C25DA2"/>
    <w:rsid w:val="78C56512"/>
    <w:rsid w:val="790A0589"/>
    <w:rsid w:val="79332791"/>
    <w:rsid w:val="7968089B"/>
    <w:rsid w:val="79D00084"/>
    <w:rsid w:val="7A04063C"/>
    <w:rsid w:val="7A3F1D7D"/>
    <w:rsid w:val="7A5A2C9C"/>
    <w:rsid w:val="7ADD45ED"/>
    <w:rsid w:val="7B032458"/>
    <w:rsid w:val="7B120345"/>
    <w:rsid w:val="7B872369"/>
    <w:rsid w:val="7C337D02"/>
    <w:rsid w:val="7CA7658A"/>
    <w:rsid w:val="7D873C06"/>
    <w:rsid w:val="7DD62491"/>
    <w:rsid w:val="7E0A2818"/>
    <w:rsid w:val="7E196EF9"/>
    <w:rsid w:val="7E7713DD"/>
    <w:rsid w:val="7EA30424"/>
    <w:rsid w:val="7ED20D09"/>
    <w:rsid w:val="7F8B70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4"/>
      <w:szCs w:val="22"/>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rPr>
  </w:style>
  <w:style w:type="paragraph" w:styleId="3">
    <w:name w:val="heading 2"/>
    <w:basedOn w:val="1"/>
    <w:next w:val="1"/>
    <w:link w:val="23"/>
    <w:unhideWhenUsed/>
    <w:qFormat/>
    <w:uiPriority w:val="0"/>
    <w:pPr>
      <w:keepNext/>
      <w:keepLines/>
      <w:spacing w:line="360" w:lineRule="auto"/>
      <w:jc w:val="left"/>
      <w:outlineLvl w:val="1"/>
    </w:pPr>
    <w:rPr>
      <w:rFonts w:ascii="仿宋" w:hAnsi="仿宋" w:cs="仿宋"/>
      <w:bCs/>
      <w:sz w:val="28"/>
      <w:szCs w:val="24"/>
    </w:rPr>
  </w:style>
  <w:style w:type="paragraph" w:styleId="4">
    <w:name w:val="heading 3"/>
    <w:basedOn w:val="1"/>
    <w:next w:val="1"/>
    <w:unhideWhenUsed/>
    <w:qFormat/>
    <w:uiPriority w:val="0"/>
    <w:pPr>
      <w:keepNext/>
      <w:keepLines/>
      <w:spacing w:before="60" w:after="60" w:line="500" w:lineRule="exact"/>
      <w:ind w:firstLine="510"/>
      <w:jc w:val="center"/>
      <w:outlineLvl w:val="2"/>
    </w:pPr>
    <w:rPr>
      <w:rFonts w:ascii="宋体" w:hAnsi="宋体" w:eastAsia="宋体"/>
      <w:b/>
    </w:rPr>
  </w:style>
  <w:style w:type="character" w:default="1" w:styleId="18">
    <w:name w:val="Default Paragraph Font"/>
    <w:semiHidden/>
    <w:unhideWhenUsed/>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5">
    <w:name w:val="Normal Indent"/>
    <w:basedOn w:val="1"/>
    <w:next w:val="1"/>
    <w:qFormat/>
    <w:uiPriority w:val="99"/>
    <w:pPr>
      <w:ind w:firstLine="420" w:firstLineChars="200"/>
    </w:pPr>
  </w:style>
  <w:style w:type="paragraph" w:styleId="6">
    <w:name w:val="Body Text"/>
    <w:basedOn w:val="1"/>
    <w:next w:val="1"/>
    <w:qFormat/>
    <w:uiPriority w:val="0"/>
    <w:pPr>
      <w:adjustRightInd w:val="0"/>
      <w:spacing w:line="440" w:lineRule="exact"/>
    </w:pPr>
    <w:rPr>
      <w:rFonts w:ascii="宋体" w:hAnsi="宋体"/>
      <w:bCs/>
      <w:color w:val="000000"/>
    </w:rPr>
  </w:style>
  <w:style w:type="paragraph" w:styleId="7">
    <w:name w:val="Body Text Indent"/>
    <w:basedOn w:val="1"/>
    <w:qFormat/>
    <w:uiPriority w:val="0"/>
    <w:pPr>
      <w:spacing w:line="460" w:lineRule="exact"/>
      <w:ind w:firstLine="510"/>
    </w:pPr>
    <w:rPr>
      <w:sz w:val="20"/>
    </w:rPr>
  </w:style>
  <w:style w:type="paragraph" w:styleId="8">
    <w:name w:val="Plain Text"/>
    <w:basedOn w:val="1"/>
    <w:next w:val="1"/>
    <w:qFormat/>
    <w:uiPriority w:val="0"/>
    <w:rPr>
      <w:rFonts w:ascii="宋体" w:hAnsi="Courier New"/>
    </w:rPr>
  </w:style>
  <w:style w:type="paragraph" w:styleId="9">
    <w:name w:val="Balloon Text"/>
    <w:basedOn w:val="1"/>
    <w:link w:val="37"/>
    <w:qFormat/>
    <w:uiPriority w:val="0"/>
    <w:rPr>
      <w:sz w:val="18"/>
      <w:szCs w:val="18"/>
    </w:rPr>
  </w:style>
  <w:style w:type="paragraph" w:styleId="10">
    <w:name w:val="footer"/>
    <w:basedOn w:val="1"/>
    <w:link w:val="30"/>
    <w:qFormat/>
    <w:uiPriority w:val="99"/>
    <w:pPr>
      <w:tabs>
        <w:tab w:val="center" w:pos="4153"/>
        <w:tab w:val="right" w:pos="8306"/>
      </w:tabs>
      <w:snapToGrid w:val="0"/>
      <w:jc w:val="left"/>
    </w:pPr>
    <w:rPr>
      <w:sz w:val="18"/>
      <w:szCs w:val="18"/>
    </w:rPr>
  </w:style>
  <w:style w:type="paragraph" w:styleId="11">
    <w:name w:val="header"/>
    <w:basedOn w:val="1"/>
    <w:link w:val="34"/>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Normal (Web)"/>
    <w:basedOn w:val="1"/>
    <w:qFormat/>
    <w:uiPriority w:val="0"/>
    <w:pPr>
      <w:widowControl/>
      <w:spacing w:before="100" w:beforeAutospacing="1" w:after="100" w:afterAutospacing="1" w:line="330" w:lineRule="atLeast"/>
      <w:jc w:val="left"/>
    </w:pPr>
    <w:rPr>
      <w:rFonts w:ascii="宋体" w:hAnsi="宋体" w:cs="宋体"/>
      <w:kern w:val="0"/>
      <w:sz w:val="18"/>
      <w:szCs w:val="18"/>
    </w:rPr>
  </w:style>
  <w:style w:type="paragraph" w:styleId="14">
    <w:name w:val="Title"/>
    <w:basedOn w:val="1"/>
    <w:link w:val="35"/>
    <w:qFormat/>
    <w:uiPriority w:val="99"/>
    <w:pPr>
      <w:spacing w:before="240" w:after="60"/>
      <w:jc w:val="center"/>
      <w:outlineLvl w:val="0"/>
    </w:pPr>
    <w:rPr>
      <w:rFonts w:ascii="Cambria" w:hAnsi="Cambria" w:eastAsia="宋体"/>
      <w:b/>
      <w:bCs/>
      <w:sz w:val="32"/>
      <w:szCs w:val="32"/>
    </w:rPr>
  </w:style>
  <w:style w:type="paragraph" w:styleId="15">
    <w:name w:val="Body Text First Indent"/>
    <w:basedOn w:val="6"/>
    <w:next w:val="1"/>
    <w:qFormat/>
    <w:uiPriority w:val="0"/>
    <w:pPr>
      <w:ind w:firstLine="420" w:firstLineChars="1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9">
    <w:name w:val="Strong"/>
    <w:basedOn w:val="18"/>
    <w:qFormat/>
    <w:uiPriority w:val="0"/>
    <w:rPr>
      <w:b/>
    </w:rPr>
  </w:style>
  <w:style w:type="character" w:styleId="20">
    <w:name w:val="page number"/>
    <w:basedOn w:val="18"/>
    <w:qFormat/>
    <w:uiPriority w:val="99"/>
    <w:rPr>
      <w:rFonts w:ascii="Times New Roman" w:hAnsi="Times New Roman" w:eastAsia="宋体" w:cs="Times New Roman"/>
      <w:lang w:val="en-US" w:eastAsia="zh-CN" w:bidi="ar-SA"/>
    </w:rPr>
  </w:style>
  <w:style w:type="character" w:styleId="21">
    <w:name w:val="Hyperlink"/>
    <w:basedOn w:val="18"/>
    <w:unhideWhenUsed/>
    <w:qFormat/>
    <w:uiPriority w:val="99"/>
    <w:rPr>
      <w:color w:val="0563C1" w:themeColor="hyperlink"/>
      <w:u w:val="single"/>
    </w:rPr>
  </w:style>
  <w:style w:type="paragraph" w:customStyle="1" w:styleId="22">
    <w:name w:val="Default"/>
    <w:qFormat/>
    <w:uiPriority w:val="0"/>
    <w:pPr>
      <w:widowControl w:val="0"/>
      <w:autoSpaceDE w:val="0"/>
      <w:autoSpaceDN w:val="0"/>
      <w:adjustRightInd w:val="0"/>
    </w:pPr>
    <w:rPr>
      <w:rFonts w:ascii="Arial" w:hAnsi="Arial" w:eastAsia="宋体" w:cs="Times New Roman"/>
      <w:color w:val="000000"/>
      <w:sz w:val="24"/>
      <w:szCs w:val="24"/>
      <w:lang w:val="en-US" w:eastAsia="zh-CN" w:bidi="ar-SA"/>
    </w:rPr>
  </w:style>
  <w:style w:type="character" w:customStyle="1" w:styleId="23">
    <w:name w:val="标题 2 Char"/>
    <w:basedOn w:val="18"/>
    <w:link w:val="3"/>
    <w:qFormat/>
    <w:uiPriority w:val="0"/>
    <w:rPr>
      <w:rFonts w:ascii="仿宋" w:hAnsi="仿宋" w:eastAsia="仿宋" w:cs="仿宋"/>
      <w:bCs/>
      <w:kern w:val="2"/>
      <w:sz w:val="28"/>
      <w:szCs w:val="24"/>
    </w:rPr>
  </w:style>
  <w:style w:type="paragraph" w:customStyle="1" w:styleId="24">
    <w:name w:val="样式 标题 2 + Times New Roman 四号 非加粗 段前: 5 磅 段后: 0 磅 行距: 固定值 20..."/>
    <w:basedOn w:val="3"/>
    <w:qFormat/>
    <w:uiPriority w:val="0"/>
    <w:pPr>
      <w:spacing w:before="100"/>
    </w:pPr>
    <w:rPr>
      <w:rFonts w:ascii="Times New Roman" w:hAnsi="Times New Roman" w:cs="宋体"/>
      <w:szCs w:val="20"/>
    </w:rPr>
  </w:style>
  <w:style w:type="paragraph" w:customStyle="1" w:styleId="25">
    <w:name w:val="样式 标题 3 + (中文) 黑体 小四 非加粗 段前: 7.8 磅 段后: 0 磅 行距: 固定值 20 磅"/>
    <w:basedOn w:val="4"/>
    <w:qFormat/>
    <w:uiPriority w:val="0"/>
    <w:pPr>
      <w:spacing w:before="0" w:after="0" w:line="240" w:lineRule="auto"/>
      <w:jc w:val="left"/>
    </w:pPr>
    <w:rPr>
      <w:rFonts w:eastAsia="仿宋" w:cs="宋体"/>
      <w:szCs w:val="20"/>
    </w:rPr>
  </w:style>
  <w:style w:type="paragraph" w:customStyle="1" w:styleId="26">
    <w:name w:val="表格文字"/>
    <w:basedOn w:val="7"/>
    <w:next w:val="6"/>
    <w:qFormat/>
    <w:uiPriority w:val="0"/>
    <w:pPr>
      <w:adjustRightInd w:val="0"/>
      <w:spacing w:line="420" w:lineRule="atLeast"/>
      <w:jc w:val="left"/>
      <w:textAlignment w:val="baseline"/>
    </w:pPr>
    <w:rPr>
      <w:kern w:val="0"/>
      <w:szCs w:val="20"/>
    </w:rPr>
  </w:style>
  <w:style w:type="paragraph" w:customStyle="1" w:styleId="27">
    <w:name w:val="正文4"/>
    <w:qFormat/>
    <w:uiPriority w:val="0"/>
    <w:pPr>
      <w:jc w:val="both"/>
    </w:pPr>
    <w:rPr>
      <w:rFonts w:ascii="Calibri" w:hAnsi="Calibri" w:cs="Calibri" w:eastAsiaTheme="minorEastAsia"/>
      <w:kern w:val="2"/>
      <w:sz w:val="21"/>
      <w:szCs w:val="21"/>
      <w:lang w:val="en-US" w:eastAsia="zh-CN" w:bidi="ar-SA"/>
    </w:rPr>
  </w:style>
  <w:style w:type="paragraph" w:customStyle="1" w:styleId="28">
    <w:name w:val="样式1"/>
    <w:basedOn w:val="1"/>
    <w:qFormat/>
    <w:uiPriority w:val="0"/>
    <w:pPr>
      <w:widowControl/>
      <w:ind w:firstLine="400" w:firstLineChars="400"/>
      <w:jc w:val="left"/>
    </w:pPr>
    <w:rPr>
      <w:rFonts w:ascii="宋体" w:hAnsi="宋体" w:eastAsia="仿宋_GB2312" w:cs="宋体"/>
      <w:kern w:val="0"/>
      <w:sz w:val="32"/>
    </w:rPr>
  </w:style>
  <w:style w:type="paragraph" w:customStyle="1" w:styleId="29">
    <w:name w:val="p0"/>
    <w:basedOn w:val="1"/>
    <w:qFormat/>
    <w:uiPriority w:val="0"/>
    <w:pPr>
      <w:widowControl/>
      <w:spacing w:before="100" w:beforeAutospacing="1" w:after="100" w:afterAutospacing="1"/>
      <w:jc w:val="left"/>
    </w:pPr>
    <w:rPr>
      <w:rFonts w:ascii="宋体" w:hAnsi="宋体" w:cs="宋体"/>
      <w:kern w:val="0"/>
      <w:szCs w:val="24"/>
    </w:rPr>
  </w:style>
  <w:style w:type="character" w:customStyle="1" w:styleId="30">
    <w:name w:val="页脚 Char"/>
    <w:basedOn w:val="18"/>
    <w:link w:val="10"/>
    <w:qFormat/>
    <w:uiPriority w:val="0"/>
    <w:rPr>
      <w:rFonts w:eastAsia="仿宋"/>
      <w:kern w:val="2"/>
      <w:sz w:val="18"/>
      <w:szCs w:val="18"/>
    </w:rPr>
  </w:style>
  <w:style w:type="character" w:customStyle="1" w:styleId="31">
    <w:name w:val="ca-21"/>
    <w:basedOn w:val="18"/>
    <w:qFormat/>
    <w:uiPriority w:val="0"/>
    <w:rPr>
      <w:rFonts w:hint="eastAsia" w:ascii="宋体" w:hAnsi="宋体" w:eastAsia="宋体"/>
      <w:sz w:val="32"/>
      <w:szCs w:val="32"/>
    </w:rPr>
  </w:style>
  <w:style w:type="character" w:customStyle="1" w:styleId="32">
    <w:name w:val="标题 Char"/>
    <w:basedOn w:val="18"/>
    <w:link w:val="14"/>
    <w:qFormat/>
    <w:uiPriority w:val="0"/>
    <w:rPr>
      <w:rFonts w:asciiTheme="majorHAnsi" w:hAnsiTheme="majorHAnsi" w:cstheme="majorBidi"/>
      <w:b/>
      <w:bCs/>
      <w:kern w:val="2"/>
      <w:sz w:val="32"/>
      <w:szCs w:val="32"/>
    </w:rPr>
  </w:style>
  <w:style w:type="character" w:customStyle="1" w:styleId="33">
    <w:name w:val="页脚 Char1"/>
    <w:basedOn w:val="18"/>
    <w:semiHidden/>
    <w:qFormat/>
    <w:locked/>
    <w:uiPriority w:val="99"/>
    <w:rPr>
      <w:rFonts w:ascii="Times New Roman" w:hAnsi="Times New Roman" w:eastAsia="宋体" w:cs="Times New Roman"/>
      <w:sz w:val="18"/>
      <w:szCs w:val="18"/>
    </w:rPr>
  </w:style>
  <w:style w:type="character" w:customStyle="1" w:styleId="34">
    <w:name w:val="页眉 Char"/>
    <w:basedOn w:val="18"/>
    <w:link w:val="11"/>
    <w:qFormat/>
    <w:locked/>
    <w:uiPriority w:val="99"/>
    <w:rPr>
      <w:rFonts w:eastAsia="仿宋"/>
      <w:kern w:val="2"/>
      <w:sz w:val="18"/>
      <w:szCs w:val="22"/>
    </w:rPr>
  </w:style>
  <w:style w:type="character" w:customStyle="1" w:styleId="35">
    <w:name w:val="标题 Char1"/>
    <w:basedOn w:val="18"/>
    <w:link w:val="14"/>
    <w:qFormat/>
    <w:locked/>
    <w:uiPriority w:val="99"/>
    <w:rPr>
      <w:rFonts w:ascii="Cambria" w:hAnsi="Cambria"/>
      <w:b/>
      <w:bCs/>
      <w:kern w:val="2"/>
      <w:sz w:val="32"/>
      <w:szCs w:val="32"/>
    </w:rPr>
  </w:style>
  <w:style w:type="character" w:customStyle="1" w:styleId="36">
    <w:name w:val="font01"/>
    <w:qFormat/>
    <w:uiPriority w:val="0"/>
    <w:rPr>
      <w:rFonts w:hint="eastAsia" w:ascii="宋体" w:hAnsi="宋体" w:eastAsia="宋体" w:cs="宋体"/>
      <w:color w:val="000000"/>
      <w:sz w:val="24"/>
      <w:szCs w:val="24"/>
      <w:u w:val="none"/>
    </w:rPr>
  </w:style>
  <w:style w:type="character" w:customStyle="1" w:styleId="37">
    <w:name w:val="批注框文本 Char"/>
    <w:basedOn w:val="18"/>
    <w:link w:val="9"/>
    <w:qFormat/>
    <w:uiPriority w:val="0"/>
    <w:rPr>
      <w:rFonts w:eastAsia="仿宋"/>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0F29E5-4E9D-43CB-9835-D44BC499498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1990</Words>
  <Characters>11344</Characters>
  <Lines>94</Lines>
  <Paragraphs>26</Paragraphs>
  <TotalTime>1319</TotalTime>
  <ScaleCrop>false</ScaleCrop>
  <LinksUpToDate>false</LinksUpToDate>
  <CharactersWithSpaces>13308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2023-12-25T01:37:00Z</dcterms:created>
  <dc:creator>Redmi</dc:creator>
  <cp:lastModifiedBy>邓声颖</cp:lastModifiedBy>
  <dcterms:modified xsi:type="dcterms:W3CDTF">2026-08-14T02:27:11Z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08AFC13A3C9B4D6B83F3DCEE5713540F_13</vt:lpwstr>
  </property>
  <property fmtid="{D5CDD505-2E9C-101B-9397-08002B2CF9AE}" pid="4" name="KSOTemplateDocerSaveRecord">
    <vt:lpwstr>eyJoZGlkIjoiMTIxMjUzMjkyMTlmNmMwYTA5MmU5YzMyNmI0MWVkZGQiLCJ1c2VySWQiOiI4NjcxMTI4OTIifQ==</vt:lpwstr>
  </property>
</Properties>
</file>