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73F6F">
      <w:pPr>
        <w:widowControl/>
        <w:autoSpaceDE/>
        <w:autoSpaceDN/>
        <w:rPr>
          <w:rFonts w:hint="eastAsia" w:ascii="方正小标宋简体" w:hAnsi="方正小标宋简体" w:eastAsia="方正小标宋简体" w:cs="方正小标宋简体"/>
          <w:b/>
          <w:bCs/>
          <w:sz w:val="44"/>
          <w:szCs w:val="44"/>
          <w:highlight w:val="none"/>
        </w:rPr>
      </w:pPr>
      <w:bookmarkStart w:id="0" w:name="_bookmark0"/>
      <w:bookmarkEnd w:id="0"/>
      <w:bookmarkStart w:id="1" w:name="_Toc6178"/>
      <w:bookmarkStart w:id="2" w:name="_Toc358884557"/>
      <w:bookmarkStart w:id="3" w:name="_Toc9962"/>
      <w:bookmarkStart w:id="4" w:name="_Toc20936"/>
      <w:bookmarkStart w:id="5" w:name="_Toc32676"/>
    </w:p>
    <w:p w14:paraId="24895739">
      <w:pPr>
        <w:spacing w:line="560" w:lineRule="exact"/>
        <w:jc w:val="center"/>
        <w:rPr>
          <w:rFonts w:hint="eastAsia" w:ascii="方正小标宋简体" w:hAnsi="方正小标宋简体" w:eastAsia="方正小标宋简体" w:cs="方正小标宋简体"/>
          <w:b/>
          <w:bCs/>
          <w:sz w:val="44"/>
          <w:szCs w:val="44"/>
          <w:highlight w:val="none"/>
        </w:rPr>
      </w:pPr>
    </w:p>
    <w:p w14:paraId="43E3EDA3">
      <w:pPr>
        <w:spacing w:line="560" w:lineRule="exact"/>
        <w:jc w:val="center"/>
        <w:rPr>
          <w:rFonts w:hint="eastAsia" w:ascii="方正小标宋简体" w:hAnsi="方正小标宋简体" w:eastAsia="方正小标宋简体" w:cs="方正小标宋简体"/>
          <w:b/>
          <w:bCs/>
          <w:sz w:val="44"/>
          <w:szCs w:val="44"/>
          <w:highlight w:val="none"/>
          <w:lang w:val="en-US"/>
        </w:rPr>
      </w:pPr>
      <w:r>
        <w:rPr>
          <w:rFonts w:hint="eastAsia" w:ascii="方正小标宋简体" w:hAnsi="方正小标宋简体" w:eastAsia="方正小标宋简体" w:cs="方正小标宋简体"/>
          <w:b/>
          <w:bCs/>
          <w:sz w:val="44"/>
          <w:szCs w:val="44"/>
          <w:highlight w:val="none"/>
        </w:rPr>
        <w:t>呼和浩特市</w:t>
      </w:r>
      <w:r>
        <w:rPr>
          <w:rFonts w:hint="eastAsia" w:ascii="方正小标宋简体" w:hAnsi="方正小标宋简体" w:eastAsia="方正小标宋简体" w:cs="方正小标宋简体"/>
          <w:b/>
          <w:bCs/>
          <w:sz w:val="44"/>
          <w:szCs w:val="44"/>
          <w:highlight w:val="none"/>
          <w:lang w:val="en-US"/>
        </w:rPr>
        <w:t>地铁运营有限公司</w:t>
      </w:r>
    </w:p>
    <w:p w14:paraId="1A206E71">
      <w:pPr>
        <w:spacing w:line="365" w:lineRule="auto"/>
        <w:jc w:val="center"/>
        <w:rPr>
          <w:rFonts w:hint="eastAsia"/>
          <w:b/>
          <w:bCs/>
          <w:sz w:val="44"/>
          <w:szCs w:val="44"/>
          <w:highlight w:val="none"/>
        </w:rPr>
      </w:pPr>
      <w:r>
        <w:rPr>
          <w:rFonts w:hint="eastAsia" w:ascii="方正小标宋简体" w:hAnsi="方正小标宋简体" w:eastAsia="方正小标宋简体" w:cs="方正小标宋简体"/>
          <w:b/>
          <w:bCs/>
          <w:sz w:val="44"/>
          <w:szCs w:val="44"/>
          <w:highlight w:val="none"/>
          <w:lang w:val="en-US"/>
        </w:rPr>
        <w:t>呼-西区间、新-人区间地质雷达探测服务项目</w:t>
      </w:r>
    </w:p>
    <w:p w14:paraId="6939B1ED">
      <w:pPr>
        <w:spacing w:line="365" w:lineRule="auto"/>
        <w:jc w:val="center"/>
        <w:rPr>
          <w:rFonts w:hint="eastAsia"/>
          <w:b/>
          <w:bCs/>
          <w:sz w:val="84"/>
          <w:highlight w:val="none"/>
        </w:rPr>
      </w:pPr>
    </w:p>
    <w:p w14:paraId="656BB8DF">
      <w:pPr>
        <w:spacing w:line="365" w:lineRule="auto"/>
        <w:jc w:val="center"/>
        <w:rPr>
          <w:rFonts w:hint="eastAsia"/>
          <w:b/>
          <w:bCs/>
          <w:sz w:val="84"/>
          <w:highlight w:val="none"/>
        </w:rPr>
      </w:pPr>
    </w:p>
    <w:p w14:paraId="70A032CD">
      <w:pPr>
        <w:spacing w:line="365" w:lineRule="auto"/>
        <w:jc w:val="center"/>
        <w:rPr>
          <w:rFonts w:hint="eastAsia" w:ascii="方正小标宋简体" w:hAnsi="方正小标宋简体" w:eastAsia="方正小标宋简体" w:cs="方正小标宋简体"/>
          <w:sz w:val="72"/>
          <w:szCs w:val="21"/>
          <w:highlight w:val="none"/>
        </w:rPr>
      </w:pPr>
      <w:r>
        <w:rPr>
          <w:rFonts w:hint="eastAsia" w:ascii="方正小标宋简体" w:hAnsi="方正小标宋简体" w:eastAsia="方正小标宋简体" w:cs="方正小标宋简体"/>
          <w:sz w:val="72"/>
          <w:szCs w:val="21"/>
          <w:highlight w:val="none"/>
        </w:rPr>
        <w:t>用户需求书</w:t>
      </w:r>
    </w:p>
    <w:p w14:paraId="4CC9E2F9">
      <w:pPr>
        <w:spacing w:line="365" w:lineRule="auto"/>
        <w:rPr>
          <w:rFonts w:hint="eastAsia"/>
          <w:b/>
          <w:bCs/>
          <w:sz w:val="32"/>
          <w:highlight w:val="none"/>
        </w:rPr>
      </w:pPr>
    </w:p>
    <w:p w14:paraId="78155813">
      <w:pPr>
        <w:spacing w:line="365" w:lineRule="auto"/>
        <w:rPr>
          <w:rFonts w:hint="eastAsia"/>
          <w:b/>
          <w:bCs/>
          <w:sz w:val="32"/>
          <w:highlight w:val="none"/>
        </w:rPr>
      </w:pPr>
    </w:p>
    <w:p w14:paraId="65E0C723">
      <w:pPr>
        <w:spacing w:line="365" w:lineRule="auto"/>
        <w:rPr>
          <w:rFonts w:hint="eastAsia"/>
          <w:b/>
          <w:bCs/>
          <w:sz w:val="32"/>
          <w:highlight w:val="none"/>
        </w:rPr>
      </w:pPr>
    </w:p>
    <w:p w14:paraId="7B447BD4">
      <w:pPr>
        <w:spacing w:line="365" w:lineRule="auto"/>
        <w:rPr>
          <w:rFonts w:hint="eastAsia"/>
          <w:b/>
          <w:bCs/>
          <w:sz w:val="32"/>
          <w:highlight w:val="none"/>
        </w:rPr>
      </w:pPr>
    </w:p>
    <w:p w14:paraId="0D4F665C">
      <w:pPr>
        <w:spacing w:line="365" w:lineRule="auto"/>
        <w:rPr>
          <w:rFonts w:hint="eastAsia"/>
          <w:b/>
          <w:bCs/>
          <w:sz w:val="32"/>
          <w:highlight w:val="none"/>
        </w:rPr>
      </w:pPr>
    </w:p>
    <w:p w14:paraId="3A169217">
      <w:pPr>
        <w:spacing w:line="365" w:lineRule="auto"/>
        <w:rPr>
          <w:rFonts w:hint="eastAsia" w:ascii="方正小标宋简体" w:hAnsi="方正小标宋简体" w:eastAsia="方正小标宋简体" w:cs="方正小标宋简体"/>
          <w:sz w:val="32"/>
          <w:highlight w:val="none"/>
          <w:lang w:val="en-US"/>
        </w:rPr>
      </w:pPr>
    </w:p>
    <w:p w14:paraId="0EEF5ED1">
      <w:pPr>
        <w:spacing w:line="365" w:lineRule="auto"/>
        <w:jc w:val="center"/>
        <w:rPr>
          <w:rFonts w:hint="eastAsia" w:ascii="方正小标宋简体" w:hAnsi="方正小标宋简体" w:eastAsia="方正小标宋简体" w:cs="方正小标宋简体"/>
          <w:sz w:val="32"/>
          <w:szCs w:val="22"/>
          <w:highlight w:val="none"/>
          <w:lang w:val="en-US"/>
        </w:rPr>
      </w:pPr>
      <w:r>
        <w:rPr>
          <w:rFonts w:hint="eastAsia" w:ascii="方正小标宋简体" w:hAnsi="方正小标宋简体" w:eastAsia="方正小标宋简体" w:cs="方正小标宋简体"/>
          <w:sz w:val="32"/>
          <w:szCs w:val="22"/>
          <w:highlight w:val="none"/>
          <w:lang w:val="en-US"/>
        </w:rPr>
        <w:t>工建中心</w:t>
      </w:r>
    </w:p>
    <w:p w14:paraId="10151EF7">
      <w:pPr>
        <w:spacing w:line="365" w:lineRule="auto"/>
        <w:rPr>
          <w:rFonts w:hint="eastAsia" w:ascii="方正小标宋简体" w:hAnsi="方正小标宋简体" w:eastAsia="方正小标宋简体" w:cs="方正小标宋简体"/>
          <w:sz w:val="32"/>
          <w:szCs w:val="22"/>
          <w:highlight w:val="none"/>
        </w:rPr>
      </w:pPr>
      <w:r>
        <w:rPr>
          <w:rFonts w:hint="eastAsia" w:ascii="方正小标宋简体" w:hAnsi="方正小标宋简体" w:eastAsia="方正小标宋简体" w:cs="方正小标宋简体"/>
          <w:sz w:val="32"/>
          <w:szCs w:val="22"/>
          <w:highlight w:val="none"/>
          <w:lang w:val="en-US"/>
        </w:rPr>
        <w:t xml:space="preserve">                                                2026</w:t>
      </w:r>
      <w:r>
        <w:rPr>
          <w:rFonts w:hint="eastAsia" w:ascii="方正小标宋简体" w:hAnsi="方正小标宋简体" w:eastAsia="方正小标宋简体" w:cs="方正小标宋简体"/>
          <w:sz w:val="32"/>
          <w:szCs w:val="22"/>
          <w:highlight w:val="none"/>
        </w:rPr>
        <w:t>年</w:t>
      </w:r>
      <w:r>
        <w:rPr>
          <w:rFonts w:hint="eastAsia" w:ascii="方正小标宋简体" w:hAnsi="方正小标宋简体" w:eastAsia="方正小标宋简体" w:cs="方正小标宋简体"/>
          <w:sz w:val="32"/>
          <w:szCs w:val="22"/>
          <w:highlight w:val="none"/>
          <w:lang w:val="en-US" w:eastAsia="zh-CN"/>
        </w:rPr>
        <w:t>2</w:t>
      </w:r>
      <w:r>
        <w:rPr>
          <w:rFonts w:hint="eastAsia" w:ascii="方正小标宋简体" w:hAnsi="方正小标宋简体" w:eastAsia="方正小标宋简体" w:cs="方正小标宋简体"/>
          <w:sz w:val="32"/>
          <w:szCs w:val="22"/>
          <w:highlight w:val="none"/>
        </w:rPr>
        <w:t>月</w:t>
      </w:r>
    </w:p>
    <w:p w14:paraId="1551B590">
      <w:pPr>
        <w:spacing w:line="365" w:lineRule="auto"/>
        <w:rPr>
          <w:rFonts w:hint="eastAsia"/>
          <w:szCs w:val="21"/>
          <w:highlight w:val="none"/>
        </w:rPr>
        <w:sectPr>
          <w:footerReference r:id="rId3" w:type="default"/>
          <w:pgSz w:w="11907" w:h="16840"/>
          <w:pgMar w:top="1418" w:right="1418" w:bottom="1701" w:left="1418" w:header="794" w:footer="590" w:gutter="0"/>
          <w:cols w:space="720" w:num="1"/>
          <w:docGrid w:type="lines" w:linePitch="333" w:charSpace="0"/>
        </w:sectPr>
      </w:pPr>
    </w:p>
    <w:bookmarkEnd w:id="1"/>
    <w:bookmarkEnd w:id="2"/>
    <w:bookmarkEnd w:id="3"/>
    <w:bookmarkEnd w:id="4"/>
    <w:bookmarkEnd w:id="5"/>
    <w:p w14:paraId="26E88AF4">
      <w:pPr>
        <w:spacing w:line="560" w:lineRule="exact"/>
        <w:ind w:firstLine="480" w:firstLineChars="200"/>
        <w:rPr>
          <w:rFonts w:hint="eastAsia" w:ascii="黑体" w:hAnsi="黑体" w:eastAsia="黑体" w:cs="黑体"/>
          <w:sz w:val="24"/>
          <w:szCs w:val="24"/>
          <w:highlight w:val="none"/>
          <w:lang w:val="en-US"/>
        </w:rPr>
      </w:pPr>
      <w:bookmarkStart w:id="6" w:name="_Toc30209_WPSOffice_Level1"/>
      <w:r>
        <w:rPr>
          <w:rFonts w:hint="eastAsia" w:ascii="黑体" w:hAnsi="黑体" w:eastAsia="黑体" w:cs="黑体"/>
          <w:sz w:val="24"/>
          <w:szCs w:val="24"/>
          <w:highlight w:val="none"/>
          <w:lang w:val="en-US"/>
        </w:rPr>
        <w:t>一、项目</w:t>
      </w:r>
      <w:bookmarkEnd w:id="6"/>
      <w:r>
        <w:rPr>
          <w:rFonts w:hint="eastAsia" w:ascii="黑体" w:hAnsi="黑体" w:eastAsia="黑体" w:cs="黑体"/>
          <w:sz w:val="24"/>
          <w:szCs w:val="24"/>
          <w:highlight w:val="none"/>
          <w:lang w:val="en-US"/>
        </w:rPr>
        <w:t>概述及服务范围</w:t>
      </w:r>
    </w:p>
    <w:p w14:paraId="422787A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本用户需求书内容为呼和浩特市地铁运营有限公司呼-西区间、新-人区间地质雷达探测服务项目。</w:t>
      </w:r>
    </w:p>
    <w:p w14:paraId="018D24A3">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1.1项目名称：呼和浩特市地铁运营有限公司呼-西区间、新-人区间地质雷达探测服务项目</w:t>
      </w:r>
    </w:p>
    <w:p w14:paraId="1EC32F73">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1.2项目地点：呼和浩特市</w:t>
      </w:r>
    </w:p>
    <w:p w14:paraId="41000507">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1.3项目内容：本项目为呼和浩特市轨道交通1号线运营期隧道结构安全专项检测工程，旨在通过地质雷达无损检测技术，对以下盾构区间隧道管片背后的回填（注浆）密实度进行全面普查：</w:t>
      </w:r>
    </w:p>
    <w:p w14:paraId="38CDB001">
      <w:pPr>
        <w:spacing w:line="560" w:lineRule="exact"/>
        <w:ind w:firstLine="480" w:firstLineChars="200"/>
        <w:rPr>
          <w:rFonts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1号线呼钢南路站至西龙王庙站区间，起讫里程 K8+609 至 K9+659，探测长度 1050 米；</w:t>
      </w:r>
    </w:p>
    <w:p w14:paraId="4853C572">
      <w:pPr>
        <w:spacing w:line="560" w:lineRule="exact"/>
        <w:ind w:firstLine="480" w:firstLineChars="200"/>
        <w:rPr>
          <w:rFonts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1号线新华广场站至人民会堂站区间，起讫里程 K13+415 至 K13+505，探测长度 90 米；</w:t>
      </w:r>
    </w:p>
    <w:p w14:paraId="45E5D90D">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本次探测目标为上述 9120 米盾构隧道的所有预制钢筋混凝土管片衬砌结构，重点识别管片背后存在的空洞、脱空及严重疏松等病害，指导施工单位进行补浆工作，对于控制地层沉降、保护管片结构有重要意义，为呼和浩特地铁运营提供基础资料，预防风险，消除安全隐患，确保隧道运营安全。</w:t>
      </w:r>
    </w:p>
    <w:p w14:paraId="1DC49487">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1.4采用标准</w:t>
      </w:r>
    </w:p>
    <w:p w14:paraId="1982B97D">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（1）《铁路隧道工程施工质量验收标准》（TB 10417-2018）；</w:t>
      </w:r>
    </w:p>
    <w:p w14:paraId="4712BDF6">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（2）《铁路隧道衬砌质量无损检测规程》（TB 10223-2004）；</w:t>
      </w:r>
    </w:p>
    <w:p w14:paraId="350E6022">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（3）《铁路隧道盾构法技术规程》（TB 10181-2017）；</w:t>
      </w:r>
    </w:p>
    <w:p w14:paraId="038AC30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（4）《岩土工程勘察规范》（GB50021-2001）（2009年版）；</w:t>
      </w:r>
    </w:p>
    <w:p w14:paraId="7D69CD98">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（5）《公路工程物探规程》（JTG/T C22-2009）；</w:t>
      </w:r>
    </w:p>
    <w:p w14:paraId="5F01346E">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（6）《城镇道路养护技术规范》（CJJ 36-2016）；</w:t>
      </w:r>
    </w:p>
    <w:p w14:paraId="4C4555AC">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（7）《地下铁道工程施工质量验收标准》(GB/T50299-2018)；</w:t>
      </w:r>
    </w:p>
    <w:p w14:paraId="1AF48F0A">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（8）《市政基础设施工程质量检验与验收统一标准》(GBJ01-90-2004)；</w:t>
      </w:r>
    </w:p>
    <w:p w14:paraId="3320272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（9）《城市工程地球物理探测标准》（CJJ 7-2017）；</w:t>
      </w:r>
    </w:p>
    <w:p w14:paraId="738B1008">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（10）《城市地下病害体综合探测与风险评估技术标准》（JGJ/T437-2018）；</w:t>
      </w:r>
    </w:p>
    <w:p w14:paraId="38F2EF54">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（11）《城市轨道交通岩土工程勘察规范》（GB 50307-2012）；</w:t>
      </w:r>
    </w:p>
    <w:p w14:paraId="5AD43D0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（12）委托方、设计等单位提供的相关设计、沉降等资料。</w:t>
      </w:r>
    </w:p>
    <w:p w14:paraId="1B37569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1.5探测相关要求</w:t>
      </w:r>
    </w:p>
    <w:p w14:paraId="3501DF82">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（一）测线布置</w:t>
      </w:r>
    </w:p>
    <w:p w14:paraId="23E8535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本项目为项目运营期隧道，参照《铁路隧道衬砌质量无损检测规程》（TB 10223-2004）隧道竣工验收时质量探测的要求并结合本项目的探测目的，在</w:t>
      </w:r>
      <w:r>
        <w:rPr>
          <w:rFonts w:hint="eastAsia" w:ascii="仿宋_GB2312" w:hAnsi="仿宋_GB2312" w:eastAsia="仿宋_GB2312" w:cs="仿宋_GB2312"/>
          <w:b/>
          <w:bCs/>
          <w:sz w:val="24"/>
          <w:szCs w:val="24"/>
          <w:highlight w:val="none"/>
          <w:lang w:val="en-US"/>
        </w:rPr>
        <w:t>左右边墙各布设一条测线，在道床中心位置布设2条测线</w:t>
      </w:r>
      <w:r>
        <w:rPr>
          <w:rFonts w:hint="eastAsia" w:ascii="仿宋_GB2312" w:hAnsi="仿宋_GB2312" w:eastAsia="仿宋_GB2312" w:cs="仿宋_GB2312"/>
          <w:sz w:val="24"/>
          <w:szCs w:val="24"/>
          <w:highlight w:val="none"/>
          <w:lang w:val="en-US"/>
        </w:rPr>
        <w:t>。</w:t>
      </w:r>
    </w:p>
    <w:p w14:paraId="22D23DF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综上，在左线、右线隧道共布设（2+2）*2=8条测线，测线布置示意图见下图。</w:t>
      </w:r>
    </w:p>
    <w:p w14:paraId="76A1301B">
      <w:pPr>
        <w:spacing w:line="560" w:lineRule="exact"/>
        <w:ind w:firstLine="440" w:firstLineChars="200"/>
        <w:rPr>
          <w:rFonts w:hint="eastAsia" w:ascii="仿宋_GB2312" w:hAnsi="仿宋_GB2312" w:eastAsia="仿宋_GB2312" w:cs="仿宋_GB2312"/>
          <w:sz w:val="24"/>
          <w:szCs w:val="24"/>
          <w:highlight w:val="none"/>
          <w:lang w:val="en-US"/>
        </w:rPr>
      </w:pPr>
      <w:r>
        <w:rPr>
          <w:highlight w:val="none"/>
        </w:rPr>
        <w:drawing>
          <wp:anchor distT="0" distB="0" distL="114300" distR="114300" simplePos="0" relativeHeight="251660288" behindDoc="0" locked="0" layoutInCell="1" allowOverlap="1">
            <wp:simplePos x="0" y="0"/>
            <wp:positionH relativeFrom="column">
              <wp:posOffset>406400</wp:posOffset>
            </wp:positionH>
            <wp:positionV relativeFrom="paragraph">
              <wp:posOffset>165100</wp:posOffset>
            </wp:positionV>
            <wp:extent cx="4533900" cy="2543175"/>
            <wp:effectExtent l="0" t="0" r="0" b="9525"/>
            <wp:wrapTopAndBottom/>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4533900" cy="2543175"/>
                    </a:xfrm>
                    <a:prstGeom prst="rect">
                      <a:avLst/>
                    </a:prstGeom>
                    <a:noFill/>
                    <a:ln>
                      <a:noFill/>
                    </a:ln>
                  </pic:spPr>
                </pic:pic>
              </a:graphicData>
            </a:graphic>
          </wp:anchor>
        </w:drawing>
      </w:r>
    </w:p>
    <w:p w14:paraId="20BF7F2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现场工作时，测线布置还应符合下列要求：</w:t>
      </w:r>
    </w:p>
    <w:p w14:paraId="6D7E0B67">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（1）测线布置应根据任务要求、探测目标体的空间结构与埋深等因素综合确定。</w:t>
      </w:r>
    </w:p>
    <w:p w14:paraId="17886183">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（2）测线主要沿线路走向布置，重点区域进行局部加密并布置交叉测线，测线布置在通道表面障碍物较少的区域。</w:t>
      </w:r>
    </w:p>
    <w:p w14:paraId="66119210">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（3）当测区边界附近发现重要异常时，应进行网格式加密探测。</w:t>
      </w:r>
    </w:p>
    <w:p w14:paraId="4B1D67D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对于疏松体布设纵向测线，对于脱空/空洞病害体以纵向布设测线为主，横向加密为辅，网状式加密探测。</w:t>
      </w:r>
    </w:p>
    <w:p w14:paraId="4225C93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（二）现场记录要求</w:t>
      </w:r>
    </w:p>
    <w:p w14:paraId="3EA55DEF">
      <w:pPr>
        <w:spacing w:line="560" w:lineRule="exact"/>
        <w:ind w:firstLine="440" w:firstLineChars="200"/>
        <w:rPr>
          <w:rFonts w:hint="eastAsia" w:ascii="仿宋_GB2312" w:hAnsi="仿宋_GB2312" w:eastAsia="仿宋_GB2312" w:cs="仿宋_GB2312"/>
          <w:sz w:val="24"/>
          <w:szCs w:val="24"/>
          <w:highlight w:val="none"/>
          <w:lang w:val="en-US"/>
        </w:rPr>
      </w:pPr>
      <w:r>
        <w:rPr>
          <w:highlight w:val="none"/>
        </w:rPr>
        <w:drawing>
          <wp:anchor distT="0" distB="0" distL="114300" distR="114300" simplePos="0" relativeHeight="251661312" behindDoc="0" locked="0" layoutInCell="1" allowOverlap="1">
            <wp:simplePos x="0" y="0"/>
            <wp:positionH relativeFrom="column">
              <wp:posOffset>353695</wp:posOffset>
            </wp:positionH>
            <wp:positionV relativeFrom="paragraph">
              <wp:posOffset>1772920</wp:posOffset>
            </wp:positionV>
            <wp:extent cx="4876800" cy="3000375"/>
            <wp:effectExtent l="0" t="0" r="0" b="9525"/>
            <wp:wrapTopAndBottom/>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8"/>
                    <a:stretch>
                      <a:fillRect/>
                    </a:stretch>
                  </pic:blipFill>
                  <pic:spPr>
                    <a:xfrm>
                      <a:off x="0" y="0"/>
                      <a:ext cx="4876800" cy="3000375"/>
                    </a:xfrm>
                    <a:prstGeom prst="rect">
                      <a:avLst/>
                    </a:prstGeom>
                    <a:noFill/>
                    <a:ln>
                      <a:noFill/>
                    </a:ln>
                  </pic:spPr>
                </pic:pic>
              </a:graphicData>
            </a:graphic>
          </wp:anchor>
        </w:drawing>
      </w:r>
      <w:r>
        <w:rPr>
          <w:rFonts w:hint="eastAsia" w:ascii="仿宋_GB2312" w:hAnsi="仿宋_GB2312" w:eastAsia="仿宋_GB2312" w:cs="仿宋_GB2312"/>
          <w:sz w:val="24"/>
          <w:szCs w:val="24"/>
          <w:highlight w:val="none"/>
          <w:lang w:val="en-US"/>
        </w:rPr>
        <w:t>现场记录是资料解释的基础。除了记录测线的起讫点、探测位置、文件号外，还需要对环境干扰信号进行记录，如电线反射、侧面墙反射、金属物品反射等，如不参考现场记录很容易将干扰信号错判为异常体。现场记录的要点是把可能产生反射干扰的干扰源都记录下来，注明它们的性质、与测线的距离、位置关系等。现场记录内容、重点及目的见下表：</w:t>
      </w:r>
    </w:p>
    <w:p w14:paraId="69116593">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（三）内业处理要求</w:t>
      </w:r>
    </w:p>
    <w:p w14:paraId="5B72AABE">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地质雷达数据处理包括预处理（标记和桩号校正等）和后处理分析，其目的在于压制规则和随机干扰，以尽可能高的分辨率在探地雷达图像剖面上显示反射波，突出有用的异常信息（包括电磁波速度，振幅和波形等）来帮助解释。</w:t>
      </w:r>
    </w:p>
    <w:p w14:paraId="590D1BE8">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雷达数据处理常用的分析方法有常规滤波和其他滤波处理，主要步骤有：零线设定、一维滤波、背景去噪、增益等，小波变换、反褶积等滤波处理方法，可结合具体探测情况选用。</w:t>
      </w:r>
    </w:p>
    <w:p w14:paraId="66F467CC">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在数据分析处理时，寻找雷达波图谱中的反射波同相轴不连续、产生弯曲、反射波能量强、回波振幅反应较强的区域，依据雷达波的相位、频率和幅值变化进行综合定性判定，最终确定衬砌背后回填（或注浆）密实度、衬砌厚度以及衬砌内部钢架、钢筋分布情况。</w:t>
      </w:r>
    </w:p>
    <w:p w14:paraId="493EF91E">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衬砌背后回填（或注浆）密实度的主要判定特征应符合下列要求：</w:t>
      </w:r>
    </w:p>
    <w:p w14:paraId="0FE7BEFB">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 密实：信号幅度较弱，甚至没有界面反射信号。</w:t>
      </w:r>
    </w:p>
    <w:p w14:paraId="489656C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 不密实：衬砌界面的强反射信号同相轴呈绕射弧形，且不连续，较分散。</w:t>
      </w:r>
    </w:p>
    <w:p w14:paraId="4A8D22C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3) 空洞：衬砌界面反射信号强，三振相明显，在其下部仍有强反射界面信号，两组信号时程差较大。</w:t>
      </w:r>
    </w:p>
    <w:p w14:paraId="237D305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衬砌内部钢架、钢筋位置分布的主要判定特征应符合下列要求：</w:t>
      </w:r>
    </w:p>
    <w:p w14:paraId="14B4954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 钢架：分散的月牙形强反射信号。</w:t>
      </w:r>
    </w:p>
    <w:p w14:paraId="6ED0BC68">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 钢筋：连续的小双曲线形强反射信号。</w:t>
      </w:r>
    </w:p>
    <w:p w14:paraId="58D8D146">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对于本次雷达探测，按照《城市地下病害体综合探测与风险评估技术标准》（JGJ/T437-2018）进行缺陷判定。</w:t>
      </w:r>
    </w:p>
    <w:p w14:paraId="10E14F10">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1.6工期要求及进度要求</w:t>
      </w:r>
    </w:p>
    <w:p w14:paraId="2EA2CA1E">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（一）工期要求</w:t>
      </w:r>
    </w:p>
    <w:p w14:paraId="3630A84E">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在接到甲方任务后及时到现场进行探测，在甲方要求合理的探测时间范围内完成现场探测工作，从而不影响甲方下一步工序的进行。</w:t>
      </w:r>
    </w:p>
    <w:p w14:paraId="03B59626">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当现场具备探测条件时预计外业首次探测工作完成需要4个台班左右。</w:t>
      </w:r>
    </w:p>
    <w:p w14:paraId="684DF32A">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现场探测时探测区域隧道底部应基本平整无障碍物。</w:t>
      </w:r>
    </w:p>
    <w:p w14:paraId="1176776A">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对于后期复测，本次复测预计需要1个台班。</w:t>
      </w:r>
    </w:p>
    <w:p w14:paraId="08CFD93B">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（二）进度要求</w:t>
      </w:r>
    </w:p>
    <w:p w14:paraId="28CD56F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在合同签订后按照提交的计划表完成外业采集工作，每个区间外业采集工作完成后2天内完成内业分析提交初步成果，总体成果在所有外业完成后的10天内完成提交正式报告。</w:t>
      </w:r>
    </w:p>
    <w:p w14:paraId="688F2EB4">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1、前期准备工作</w:t>
      </w:r>
    </w:p>
    <w:p w14:paraId="57FFA6D3">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在合同签订后2天内完成资料收集、现场探勘、实施方案编写及评审、探测方法试验优化等工作。</w:t>
      </w:r>
    </w:p>
    <w:p w14:paraId="05AFDB07">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1）收集探测范围内的道路和地下管线信息。</w:t>
      </w:r>
    </w:p>
    <w:p w14:paraId="46723E03">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2）仪器设备准备工作，对拟投入仪器、车辆及软件做全面综合检查，确保设备性能参数满足探测要求。</w:t>
      </w:r>
    </w:p>
    <w:p w14:paraId="27C1C1D9">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3）现场初步踏勘，统计踏勘成果表。</w:t>
      </w:r>
    </w:p>
    <w:p w14:paraId="4F36639E">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4）对探测人员安全培训内容，安全与技术交底。</w:t>
      </w:r>
    </w:p>
    <w:p w14:paraId="749890AB">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2、现场探测工作</w:t>
      </w:r>
    </w:p>
    <w:p w14:paraId="1BF2DC05">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1）区间隧道信息资料探查：核对区间隧道信息资料，对区间隧道信息资料缺失部分进行详细勘察，将资料补充完全。</w:t>
      </w:r>
    </w:p>
    <w:p w14:paraId="4EEF74DF">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2）采用地质雷达对探测范围内管片背后注浆密实度进行普查。</w:t>
      </w:r>
    </w:p>
    <w:p w14:paraId="53636CAC">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3）由项目主要数据分析人员对收集到的探测数据进行分析与报告整理，对探测结果中有异常的区域进行标记。</w:t>
      </w:r>
    </w:p>
    <w:p w14:paraId="284CDE46">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3、内业整理工作</w:t>
      </w:r>
    </w:p>
    <w:p w14:paraId="27F7EA77">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内业整理工作在外业采集结束后进行，发现明显土体缺陷时及时汇报给业主方。在合同签订后80日内完成内业分析全部工作，并完成报告编写及报告送审工作。</w:t>
      </w:r>
    </w:p>
    <w:p w14:paraId="6CEA9232">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由项目负责人及项目主要数据分析人员对收集到的数据进行综合分析、归类，整理成果报告。</w:t>
      </w:r>
    </w:p>
    <w:p w14:paraId="7DF7867D">
      <w:pPr>
        <w:spacing w:line="56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rPr>
        <w:t>1.7</w:t>
      </w:r>
      <w:r>
        <w:rPr>
          <w:rFonts w:hint="eastAsia" w:ascii="仿宋_GB2312" w:hAnsi="仿宋_GB2312" w:eastAsia="仿宋_GB2312" w:cs="仿宋_GB2312"/>
          <w:sz w:val="24"/>
          <w:szCs w:val="24"/>
          <w:highlight w:val="none"/>
        </w:rPr>
        <w:t>项目费用</w:t>
      </w:r>
      <w:bookmarkStart w:id="7" w:name="_Toc21503_WPSOffice_Level1"/>
    </w:p>
    <w:p w14:paraId="1BEF7335">
      <w:pPr>
        <w:spacing w:line="560" w:lineRule="exact"/>
        <w:ind w:firstLine="480" w:firstLineChars="200"/>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项目预算：本项目共计16条测线，总计预算60,000元。</w:t>
      </w:r>
    </w:p>
    <w:p w14:paraId="4C236D3A">
      <w:pPr>
        <w:spacing w:line="560" w:lineRule="exact"/>
        <w:ind w:left="480" w:leftChars="218"/>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1.8建议结算方式</w:t>
      </w:r>
    </w:p>
    <w:p w14:paraId="46B8EB84">
      <w:pPr>
        <w:spacing w:line="560" w:lineRule="exact"/>
        <w:ind w:left="480" w:leftChars="218"/>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rPr>
        <w:t>验收合格完成后30日内</w:t>
      </w:r>
      <w:r>
        <w:rPr>
          <w:rFonts w:hint="eastAsia" w:ascii="仿宋_GB2312" w:hAnsi="仿宋_GB2312" w:eastAsia="仿宋_GB2312" w:cs="仿宋_GB2312"/>
          <w:sz w:val="24"/>
          <w:szCs w:val="24"/>
          <w:highlight w:val="none"/>
          <w:lang w:val="en-US" w:eastAsia="zh-CN"/>
        </w:rPr>
        <w:t>，开具合同金额100%的增值税专用发票。</w:t>
      </w:r>
      <w:r>
        <w:rPr>
          <w:rFonts w:hint="eastAsia" w:ascii="仿宋_GB2312" w:hAnsi="仿宋_GB2312" w:eastAsia="仿宋_GB2312" w:cs="仿宋_GB2312"/>
          <w:sz w:val="24"/>
          <w:szCs w:val="24"/>
          <w:highlight w:val="none"/>
          <w:lang w:val="en-US"/>
        </w:rPr>
        <w:t>按照项目金额100%全额支付。</w:t>
      </w:r>
      <w:bookmarkEnd w:id="7"/>
    </w:p>
    <w:p w14:paraId="06223406">
      <w:pPr>
        <w:spacing w:line="560" w:lineRule="exact"/>
        <w:ind w:left="480" w:leftChars="218"/>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eastAsia="zh-CN"/>
        </w:rPr>
        <w:t>1.9项目形式</w:t>
      </w:r>
      <w:r>
        <w:rPr>
          <w:rFonts w:hint="eastAsia" w:ascii="仿宋_GB2312" w:hAnsi="仿宋_GB2312" w:eastAsia="仿宋_GB2312" w:cs="仿宋_GB2312"/>
          <w:sz w:val="24"/>
          <w:szCs w:val="24"/>
          <w:highlight w:val="none"/>
          <w:lang w:val="en-US"/>
        </w:rPr>
        <w:t xml:space="preserve"> </w:t>
      </w:r>
    </w:p>
    <w:p w14:paraId="0214A156">
      <w:pPr>
        <w:spacing w:line="560" w:lineRule="exact"/>
        <w:ind w:left="480" w:leftChars="218"/>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rPr>
        <w:t>本项目合同价款形式为不含税固定总价合同</w:t>
      </w:r>
      <w:r>
        <w:rPr>
          <w:rFonts w:hint="eastAsia" w:ascii="仿宋_GB2312" w:hAnsi="仿宋_GB2312" w:eastAsia="仿宋_GB2312" w:cs="仿宋_GB2312"/>
          <w:sz w:val="24"/>
          <w:szCs w:val="24"/>
          <w:highlight w:val="none"/>
          <w:lang w:val="en-US" w:eastAsia="zh-CN"/>
        </w:rPr>
        <w:t>。</w:t>
      </w:r>
      <w:bookmarkStart w:id="8" w:name="_bookmark1"/>
      <w:bookmarkEnd w:id="8"/>
      <w:bookmarkStart w:id="9" w:name="_Toc17531"/>
      <w:bookmarkStart w:id="10" w:name="_Toc19363"/>
    </w:p>
    <w:p w14:paraId="69327782">
      <w:pPr>
        <w:spacing w:line="560" w:lineRule="exact"/>
        <w:ind w:firstLine="440" w:firstLineChars="200"/>
        <w:rPr>
          <w:rFonts w:hint="eastAsia" w:ascii="黑体" w:hAnsi="黑体" w:eastAsia="黑体" w:cs="黑体"/>
          <w:highlight w:val="none"/>
          <w:lang w:val="en-US"/>
        </w:rPr>
      </w:pPr>
      <w:bookmarkStart w:id="12" w:name="_GoBack"/>
      <w:r>
        <w:rPr>
          <w:rFonts w:hint="eastAsia" w:ascii="黑体" w:hAnsi="黑体" w:eastAsia="黑体" w:cs="黑体"/>
          <w:highlight w:val="none"/>
          <w:lang w:val="en-US"/>
        </w:rPr>
        <w:t>二、</w:t>
      </w:r>
      <w:bookmarkEnd w:id="9"/>
      <w:bookmarkEnd w:id="10"/>
      <w:bookmarkStart w:id="11" w:name="_bookmark2"/>
      <w:bookmarkEnd w:id="11"/>
      <w:r>
        <w:rPr>
          <w:rFonts w:hint="eastAsia" w:ascii="黑体" w:hAnsi="黑体" w:eastAsia="黑体" w:cs="黑体"/>
          <w:highlight w:val="none"/>
          <w:u w:val="single"/>
          <w:lang w:eastAsia="zh-CN"/>
        </w:rPr>
        <w:t>报价人</w:t>
      </w:r>
      <w:r>
        <w:rPr>
          <w:rFonts w:hint="eastAsia" w:ascii="黑体" w:hAnsi="黑体" w:eastAsia="黑体" w:cs="黑体"/>
          <w:highlight w:val="none"/>
        </w:rPr>
        <w:t>资格要</w:t>
      </w:r>
      <w:r>
        <w:rPr>
          <w:rFonts w:hint="eastAsia" w:ascii="黑体" w:hAnsi="黑体" w:eastAsia="黑体" w:cs="黑体"/>
          <w:highlight w:val="none"/>
          <w:lang w:val="en-US"/>
        </w:rPr>
        <w:t>求</w:t>
      </w:r>
    </w:p>
    <w:p w14:paraId="501FB24F">
      <w:pPr>
        <w:pStyle w:val="5"/>
        <w:spacing w:line="560" w:lineRule="exact"/>
        <w:ind w:left="0" w:firstLine="480" w:firstLineChars="200"/>
        <w:rPr>
          <w:rFonts w:hint="eastAsia" w:ascii="仿宋_GB2312" w:hAnsi="仿宋_GB2312" w:eastAsia="仿宋_GB2312" w:cs="仿宋_GB2312"/>
          <w:b w:val="0"/>
          <w:bCs w:val="0"/>
          <w:highlight w:val="none"/>
          <w:lang w:val="en-US"/>
        </w:rPr>
      </w:pPr>
      <w:r>
        <w:rPr>
          <w:rFonts w:hint="eastAsia" w:ascii="仿宋_GB2312" w:hAnsi="仿宋_GB2312" w:eastAsia="仿宋_GB2312" w:cs="仿宋_GB2312"/>
          <w:b w:val="0"/>
          <w:bCs w:val="0"/>
          <w:highlight w:val="none"/>
          <w:lang w:val="en-US"/>
        </w:rPr>
        <w:t>2.1</w:t>
      </w:r>
      <w:r>
        <w:rPr>
          <w:rFonts w:hint="eastAsia" w:ascii="仿宋_GB2312" w:hAnsi="仿宋_GB2312" w:eastAsia="仿宋_GB2312" w:cs="仿宋_GB2312"/>
          <w:b w:val="0"/>
          <w:bCs w:val="0"/>
          <w:highlight w:val="none"/>
          <w:u w:val="single"/>
          <w:lang w:val="en-US"/>
        </w:rPr>
        <w:t>报价人</w:t>
      </w:r>
      <w:r>
        <w:rPr>
          <w:rFonts w:hint="eastAsia" w:ascii="仿宋_GB2312" w:hAnsi="仿宋_GB2312" w:eastAsia="仿宋_GB2312" w:cs="仿宋_GB2312"/>
          <w:b w:val="0"/>
          <w:bCs w:val="0"/>
          <w:highlight w:val="none"/>
          <w:lang w:val="en-US"/>
        </w:rPr>
        <w:t>须是在中华人民共和国（不含香港、澳门及台湾地区）注册的、具备独立法人资格的企业。</w:t>
      </w:r>
    </w:p>
    <w:p w14:paraId="6B0852BE">
      <w:pPr>
        <w:pStyle w:val="5"/>
        <w:spacing w:line="560" w:lineRule="exact"/>
        <w:ind w:left="0" w:firstLine="480" w:firstLineChars="200"/>
        <w:rPr>
          <w:rFonts w:hint="eastAsia" w:ascii="仿宋_GB2312" w:hAnsi="仿宋_GB2312" w:eastAsia="仿宋_GB2312" w:cs="仿宋_GB2312"/>
          <w:b w:val="0"/>
          <w:bCs w:val="0"/>
          <w:highlight w:val="none"/>
          <w:lang w:val="en-US"/>
        </w:rPr>
      </w:pPr>
      <w:r>
        <w:rPr>
          <w:rFonts w:hint="eastAsia" w:ascii="仿宋_GB2312" w:hAnsi="仿宋_GB2312" w:eastAsia="仿宋_GB2312" w:cs="仿宋_GB2312"/>
          <w:b w:val="0"/>
          <w:bCs w:val="0"/>
          <w:highlight w:val="none"/>
          <w:lang w:val="en-US"/>
        </w:rPr>
        <w:t>2.2</w:t>
      </w:r>
      <w:r>
        <w:rPr>
          <w:rFonts w:hint="eastAsia" w:ascii="仿宋_GB2312" w:hAnsi="仿宋_GB2312" w:eastAsia="仿宋_GB2312" w:cs="仿宋_GB2312"/>
          <w:b w:val="0"/>
          <w:bCs w:val="0"/>
          <w:highlight w:val="none"/>
          <w:u w:val="single"/>
          <w:lang w:val="en-US"/>
        </w:rPr>
        <w:t>报价人</w:t>
      </w:r>
      <w:r>
        <w:rPr>
          <w:rFonts w:hint="eastAsia" w:ascii="仿宋_GB2312" w:hAnsi="仿宋_GB2312" w:eastAsia="仿宋_GB2312" w:cs="仿宋_GB2312"/>
          <w:b w:val="0"/>
          <w:bCs w:val="0"/>
          <w:highlight w:val="none"/>
          <w:lang w:val="en-US"/>
        </w:rPr>
        <w:t>没有处于被取消投标资格的处罚期内，且没有处于被责令停业，财产被接管、冻结、破产状态。</w:t>
      </w:r>
    </w:p>
    <w:p w14:paraId="395B3F41">
      <w:pPr>
        <w:pStyle w:val="5"/>
        <w:spacing w:line="560" w:lineRule="exact"/>
        <w:ind w:left="0" w:firstLine="480" w:firstLineChars="200"/>
        <w:rPr>
          <w:rFonts w:hint="eastAsia" w:ascii="仿宋_GB2312" w:hAnsi="仿宋_GB2312" w:eastAsia="仿宋_GB2312" w:cs="仿宋_GB2312"/>
          <w:b w:val="0"/>
          <w:bCs w:val="0"/>
          <w:highlight w:val="none"/>
          <w:lang w:val="en-US"/>
        </w:rPr>
      </w:pPr>
      <w:r>
        <w:rPr>
          <w:rFonts w:hint="eastAsia" w:ascii="仿宋_GB2312" w:hAnsi="仿宋_GB2312" w:eastAsia="仿宋_GB2312" w:cs="仿宋_GB2312"/>
          <w:b w:val="0"/>
          <w:bCs w:val="0"/>
          <w:highlight w:val="none"/>
          <w:lang w:val="en-US"/>
        </w:rPr>
        <w:t>2.3本项目不接受联合体投标。</w:t>
      </w:r>
    </w:p>
    <w:p w14:paraId="34D5FAF3">
      <w:pPr>
        <w:pStyle w:val="5"/>
        <w:spacing w:line="560" w:lineRule="exact"/>
        <w:ind w:left="0" w:firstLine="480" w:firstLineChars="200"/>
        <w:rPr>
          <w:rFonts w:hint="eastAsia" w:ascii="仿宋_GB2312" w:hAnsi="仿宋_GB2312" w:eastAsia="仿宋_GB2312" w:cs="仿宋_GB2312"/>
          <w:b w:val="0"/>
          <w:bCs w:val="0"/>
          <w:highlight w:val="none"/>
          <w:lang w:val="en-US"/>
        </w:rPr>
      </w:pPr>
      <w:r>
        <w:rPr>
          <w:rFonts w:hint="eastAsia" w:ascii="仿宋_GB2312" w:hAnsi="仿宋_GB2312" w:eastAsia="仿宋_GB2312" w:cs="仿宋_GB2312"/>
          <w:b w:val="0"/>
          <w:bCs w:val="0"/>
          <w:highlight w:val="none"/>
          <w:lang w:val="en-US"/>
        </w:rPr>
        <w:t>2.4报价人</w:t>
      </w:r>
      <w:r>
        <w:rPr>
          <w:rFonts w:hint="eastAsia" w:ascii="仿宋_GB2312" w:hAnsi="仿宋_GB2312" w:eastAsia="仿宋_GB2312" w:cs="仿宋_GB2312"/>
          <w:b w:val="0"/>
          <w:bCs w:val="0"/>
          <w:highlight w:val="none"/>
          <w:lang w:val="en-US"/>
        </w:rPr>
        <w:t>需具备</w:t>
      </w:r>
      <w:bookmarkEnd w:id="12"/>
      <w:r>
        <w:rPr>
          <w:rFonts w:hint="eastAsia" w:ascii="仿宋_GB2312" w:hAnsi="仿宋_GB2312" w:eastAsia="仿宋_GB2312" w:cs="仿宋_GB2312"/>
          <w:b w:val="0"/>
          <w:bCs w:val="0"/>
          <w:highlight w:val="none"/>
          <w:lang w:val="en-US"/>
        </w:rPr>
        <w:t>工程勘察综合资质甲级。</w:t>
      </w:r>
    </w:p>
    <w:p w14:paraId="100914EC">
      <w:pPr>
        <w:pStyle w:val="8"/>
        <w:spacing w:line="560" w:lineRule="exact"/>
        <w:ind w:right="254" w:firstLine="480" w:firstLineChars="200"/>
        <w:rPr>
          <w:rFonts w:hint="eastAsia" w:ascii="黑体" w:hAnsi="黑体" w:eastAsia="黑体" w:cs="黑体"/>
          <w:highlight w:val="none"/>
          <w:lang w:val="en-US"/>
        </w:rPr>
      </w:pPr>
      <w:r>
        <w:rPr>
          <w:rFonts w:hint="eastAsia" w:ascii="黑体" w:hAnsi="黑体" w:eastAsia="黑体" w:cs="黑体"/>
          <w:highlight w:val="none"/>
          <w:lang w:val="en-US"/>
        </w:rPr>
        <w:t>三、项目期限</w:t>
      </w:r>
    </w:p>
    <w:p w14:paraId="477450A4">
      <w:pPr>
        <w:pStyle w:val="5"/>
        <w:spacing w:line="560" w:lineRule="exact"/>
        <w:ind w:left="0" w:firstLine="480" w:firstLineChars="200"/>
        <w:rPr>
          <w:rFonts w:hint="eastAsia" w:ascii="仿宋_GB2312" w:hAnsi="仿宋_GB2312" w:eastAsia="仿宋_GB2312" w:cs="仿宋_GB2312"/>
          <w:b w:val="0"/>
          <w:bCs w:val="0"/>
          <w:highlight w:val="none"/>
          <w:lang w:val="en-US"/>
        </w:rPr>
      </w:pPr>
      <w:r>
        <w:rPr>
          <w:rFonts w:hint="eastAsia" w:ascii="仿宋_GB2312" w:hAnsi="仿宋_GB2312" w:eastAsia="仿宋_GB2312" w:cs="仿宋_GB2312"/>
          <w:b w:val="0"/>
          <w:bCs w:val="0"/>
          <w:highlight w:val="none"/>
          <w:lang w:val="en-US"/>
        </w:rPr>
        <w:t>本项目自合同签订之日起生效，有效期至完成探测工作并出具完整成果报告后结束。</w:t>
      </w:r>
    </w:p>
    <w:sectPr>
      <w:headerReference r:id="rId4" w:type="default"/>
      <w:footerReference r:id="rId5" w:type="default"/>
      <w:pgSz w:w="11910" w:h="16840"/>
      <w:pgMar w:top="1460" w:right="1160" w:bottom="1400" w:left="1180" w:header="0" w:footer="120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D9D9A">
    <w:pPr>
      <w:pStyle w:val="10"/>
      <w:rPr>
        <w:rFonts w:hint="eastAsia"/>
      </w:rPr>
    </w:pPr>
    <w:r>
      <w:rPr>
        <w:rFonts w:ascii="Times New Roman" w:hAnsi="Times New Roman" w:cs="Times New Roman"/>
        <w:kern w:val="2"/>
        <w:szCs w:val="18"/>
        <w:lang w:val="en-US"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7914E4">
                          <w:pPr>
                            <w:pStyle w:val="10"/>
                            <w:rPr>
                              <w:rFonts w:hint="eastAsia"/>
                            </w:rPr>
                          </w:pPr>
                        </w:p>
                      </w:txbxContent>
                    </wps:txbx>
                    <wps:bodyPr wrap="none" lIns="0" tIns="0" rIns="0" bIns="0" upright="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c7q0FyQEAAJoDAAAOAAAAAAAAAAEAIAAAAB4BAABkcnMvZTJvRG9j&#10;LnhtbFBLBQYAAAAABgAGAFkBAABZBQAAAAA=&#10;">
              <v:fill on="f" focussize="0,0"/>
              <v:stroke on="f"/>
              <v:imagedata o:title=""/>
              <o:lock v:ext="edit" aspectratio="f"/>
              <v:textbox inset="0mm,0mm,0mm,0mm" style="mso-fit-shape-to-text:t;">
                <w:txbxContent>
                  <w:p w14:paraId="137914E4">
                    <w:pPr>
                      <w:pStyle w:val="10"/>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EC47F">
    <w:pPr>
      <w:pStyle w:val="10"/>
      <w:framePr w:w="1177" w:wrap="around" w:vAnchor="text" w:hAnchor="page" w:x="5266" w:y="-55"/>
      <w:spacing w:before="240"/>
      <w:jc w:val="center"/>
      <w:rPr>
        <w:rStyle w:val="18"/>
        <w:rFonts w:hint="eastAsia" w:ascii="Times New Roman"/>
        <w:sz w:val="21"/>
        <w:szCs w:val="21"/>
      </w:rPr>
    </w:pPr>
    <w:r>
      <w:rPr>
        <w:rFonts w:ascii="Times New Roman"/>
        <w:sz w:val="21"/>
        <w:szCs w:val="21"/>
      </w:rPr>
      <w:fldChar w:fldCharType="begin"/>
    </w:r>
    <w:r>
      <w:rPr>
        <w:rStyle w:val="18"/>
        <w:rFonts w:ascii="Times New Roman"/>
        <w:sz w:val="21"/>
        <w:szCs w:val="21"/>
      </w:rPr>
      <w:instrText xml:space="preserve">PAGE  </w:instrText>
    </w:r>
    <w:r>
      <w:rPr>
        <w:rFonts w:ascii="Times New Roman"/>
        <w:sz w:val="21"/>
        <w:szCs w:val="21"/>
      </w:rPr>
      <w:fldChar w:fldCharType="separate"/>
    </w:r>
    <w:r>
      <w:rPr>
        <w:rStyle w:val="18"/>
        <w:rFonts w:ascii="Times New Roman"/>
        <w:sz w:val="21"/>
        <w:szCs w:val="21"/>
      </w:rPr>
      <w:t>14</w:t>
    </w:r>
    <w:r>
      <w:rPr>
        <w:rFonts w:ascii="Times New Roman"/>
        <w:sz w:val="21"/>
        <w:szCs w:val="21"/>
      </w:rPr>
      <w:fldChar w:fldCharType="end"/>
    </w:r>
  </w:p>
  <w:p w14:paraId="35D4FCCD">
    <w:pPr>
      <w:pStyle w:val="10"/>
      <w:tabs>
        <w:tab w:val="left" w:pos="1065"/>
      </w:tabs>
      <w:spacing w:before="240"/>
      <w:ind w:left="566" w:right="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DD98D">
    <w:pPr>
      <w:pStyle w:val="11"/>
      <w:pBdr>
        <w:bottom w:val="none" w:color="auto" w:sz="0" w:space="0"/>
      </w:pBdr>
      <w:tabs>
        <w:tab w:val="clear" w:pos="4153"/>
        <w:tab w:val="clear" w:pos="8306"/>
      </w:tabs>
      <w:ind w:left="566"/>
      <w:jc w:val="both"/>
      <w:rPr>
        <w:rFonts w:ascii="楷体_GB2312" w:eastAsia="楷体_GB2312"/>
        <w:sz w:val="21"/>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jNWIxMWQxNmZiMWExYTcyMTY4MzAzNGNmN2U0MWYifQ=="/>
    <w:docVar w:name="KSO_WPS_MARK_KEY" w:val="f8087cb2-f69e-410d-8b55-d92f5faf9d6e"/>
  </w:docVars>
  <w:rsids>
    <w:rsidRoot w:val="00172A27"/>
    <w:rsid w:val="00172A27"/>
    <w:rsid w:val="002B7134"/>
    <w:rsid w:val="00454A33"/>
    <w:rsid w:val="004B2D5F"/>
    <w:rsid w:val="00663A59"/>
    <w:rsid w:val="00ED1E2A"/>
    <w:rsid w:val="01437751"/>
    <w:rsid w:val="022B155A"/>
    <w:rsid w:val="02967618"/>
    <w:rsid w:val="034D095E"/>
    <w:rsid w:val="049916D3"/>
    <w:rsid w:val="07414C7E"/>
    <w:rsid w:val="07B70A9C"/>
    <w:rsid w:val="08BB45BC"/>
    <w:rsid w:val="09C679B1"/>
    <w:rsid w:val="0A5D1DCF"/>
    <w:rsid w:val="0B901410"/>
    <w:rsid w:val="0D6542C2"/>
    <w:rsid w:val="0D73586C"/>
    <w:rsid w:val="0D8838E1"/>
    <w:rsid w:val="0F124079"/>
    <w:rsid w:val="0F137EBA"/>
    <w:rsid w:val="0F56503F"/>
    <w:rsid w:val="101747CE"/>
    <w:rsid w:val="1044741D"/>
    <w:rsid w:val="10A01405"/>
    <w:rsid w:val="10B05F47"/>
    <w:rsid w:val="11CF02C5"/>
    <w:rsid w:val="1224088D"/>
    <w:rsid w:val="129635C5"/>
    <w:rsid w:val="12FF27AB"/>
    <w:rsid w:val="13020D4C"/>
    <w:rsid w:val="13244CBF"/>
    <w:rsid w:val="13936861"/>
    <w:rsid w:val="13FE1AA0"/>
    <w:rsid w:val="150078ED"/>
    <w:rsid w:val="157C0591"/>
    <w:rsid w:val="171F6BEC"/>
    <w:rsid w:val="17356021"/>
    <w:rsid w:val="17944956"/>
    <w:rsid w:val="19650358"/>
    <w:rsid w:val="1AF06347"/>
    <w:rsid w:val="1B410326"/>
    <w:rsid w:val="1D7B2840"/>
    <w:rsid w:val="1D9A3AE2"/>
    <w:rsid w:val="1DC615E1"/>
    <w:rsid w:val="1E3609ED"/>
    <w:rsid w:val="1FAB6CE1"/>
    <w:rsid w:val="2040567B"/>
    <w:rsid w:val="208732AA"/>
    <w:rsid w:val="20987265"/>
    <w:rsid w:val="21472A39"/>
    <w:rsid w:val="21BF6A73"/>
    <w:rsid w:val="22050A69"/>
    <w:rsid w:val="22824F86"/>
    <w:rsid w:val="22A719E1"/>
    <w:rsid w:val="23243032"/>
    <w:rsid w:val="2380719E"/>
    <w:rsid w:val="242F6132"/>
    <w:rsid w:val="245B0CD5"/>
    <w:rsid w:val="24D15189"/>
    <w:rsid w:val="252A0D11"/>
    <w:rsid w:val="2547125A"/>
    <w:rsid w:val="270F19C2"/>
    <w:rsid w:val="271E13E0"/>
    <w:rsid w:val="272C4BAB"/>
    <w:rsid w:val="276E7540"/>
    <w:rsid w:val="27DD3B02"/>
    <w:rsid w:val="27EC64CB"/>
    <w:rsid w:val="29EE7EF6"/>
    <w:rsid w:val="29FC4A23"/>
    <w:rsid w:val="2A0A1186"/>
    <w:rsid w:val="2A290239"/>
    <w:rsid w:val="2A7711D3"/>
    <w:rsid w:val="2AB40EBF"/>
    <w:rsid w:val="2B0E28C6"/>
    <w:rsid w:val="2C155C0E"/>
    <w:rsid w:val="2C835867"/>
    <w:rsid w:val="2C8965FC"/>
    <w:rsid w:val="2E61348F"/>
    <w:rsid w:val="2EEA15D4"/>
    <w:rsid w:val="2F947791"/>
    <w:rsid w:val="2FDC34E3"/>
    <w:rsid w:val="30B04157"/>
    <w:rsid w:val="30BB6D08"/>
    <w:rsid w:val="31E84AB0"/>
    <w:rsid w:val="335C6818"/>
    <w:rsid w:val="339E0BDF"/>
    <w:rsid w:val="34262CEC"/>
    <w:rsid w:val="34DD30CD"/>
    <w:rsid w:val="3546096D"/>
    <w:rsid w:val="35F86B28"/>
    <w:rsid w:val="36802C05"/>
    <w:rsid w:val="368B1AF1"/>
    <w:rsid w:val="36AF37F1"/>
    <w:rsid w:val="36FA5643"/>
    <w:rsid w:val="370E1BD7"/>
    <w:rsid w:val="37985945"/>
    <w:rsid w:val="379876A7"/>
    <w:rsid w:val="38CF183A"/>
    <w:rsid w:val="390F63CA"/>
    <w:rsid w:val="398F2AE0"/>
    <w:rsid w:val="3A1219DE"/>
    <w:rsid w:val="3B132045"/>
    <w:rsid w:val="3B2A4B52"/>
    <w:rsid w:val="3BC70C15"/>
    <w:rsid w:val="3C8E7407"/>
    <w:rsid w:val="3D600CB3"/>
    <w:rsid w:val="3D66331D"/>
    <w:rsid w:val="3DB8289D"/>
    <w:rsid w:val="3E6C0363"/>
    <w:rsid w:val="3F886D51"/>
    <w:rsid w:val="40155C28"/>
    <w:rsid w:val="40784E32"/>
    <w:rsid w:val="418E62E1"/>
    <w:rsid w:val="42361927"/>
    <w:rsid w:val="42A41642"/>
    <w:rsid w:val="42F148E8"/>
    <w:rsid w:val="43EF7D42"/>
    <w:rsid w:val="445551B9"/>
    <w:rsid w:val="44E91D45"/>
    <w:rsid w:val="451900C5"/>
    <w:rsid w:val="45FB55AC"/>
    <w:rsid w:val="46750677"/>
    <w:rsid w:val="46AC6D17"/>
    <w:rsid w:val="47136D96"/>
    <w:rsid w:val="482D3E87"/>
    <w:rsid w:val="485E5606"/>
    <w:rsid w:val="4B076E20"/>
    <w:rsid w:val="4C023D38"/>
    <w:rsid w:val="4C076530"/>
    <w:rsid w:val="4E913932"/>
    <w:rsid w:val="4F127FA3"/>
    <w:rsid w:val="4F153873"/>
    <w:rsid w:val="4F3B332E"/>
    <w:rsid w:val="4F5C03C2"/>
    <w:rsid w:val="507E02C0"/>
    <w:rsid w:val="51160A18"/>
    <w:rsid w:val="511D0D3E"/>
    <w:rsid w:val="511E6A63"/>
    <w:rsid w:val="51686C1F"/>
    <w:rsid w:val="52675E41"/>
    <w:rsid w:val="528F6508"/>
    <w:rsid w:val="52AA2CCE"/>
    <w:rsid w:val="534260F8"/>
    <w:rsid w:val="535412B8"/>
    <w:rsid w:val="54705828"/>
    <w:rsid w:val="553C395C"/>
    <w:rsid w:val="55A62DF9"/>
    <w:rsid w:val="562460CC"/>
    <w:rsid w:val="56D20E30"/>
    <w:rsid w:val="57531C19"/>
    <w:rsid w:val="577608BD"/>
    <w:rsid w:val="59344ABA"/>
    <w:rsid w:val="596C29EB"/>
    <w:rsid w:val="5A403F48"/>
    <w:rsid w:val="5AEC372E"/>
    <w:rsid w:val="5B9B13DC"/>
    <w:rsid w:val="5C5E128D"/>
    <w:rsid w:val="5CD86C56"/>
    <w:rsid w:val="5D6A2609"/>
    <w:rsid w:val="5D7A16F4"/>
    <w:rsid w:val="5EC410CA"/>
    <w:rsid w:val="5ED13367"/>
    <w:rsid w:val="5F710167"/>
    <w:rsid w:val="60C927A8"/>
    <w:rsid w:val="616A5248"/>
    <w:rsid w:val="61AC4A6D"/>
    <w:rsid w:val="61D14789"/>
    <w:rsid w:val="62AA382B"/>
    <w:rsid w:val="647567A1"/>
    <w:rsid w:val="64EC7391"/>
    <w:rsid w:val="65777052"/>
    <w:rsid w:val="665C5C0C"/>
    <w:rsid w:val="66720055"/>
    <w:rsid w:val="674A1F08"/>
    <w:rsid w:val="675D6E63"/>
    <w:rsid w:val="679819FB"/>
    <w:rsid w:val="681F506B"/>
    <w:rsid w:val="69C45FA2"/>
    <w:rsid w:val="69D837FB"/>
    <w:rsid w:val="69F26C84"/>
    <w:rsid w:val="6A6660A0"/>
    <w:rsid w:val="6B071DE5"/>
    <w:rsid w:val="6C0756F2"/>
    <w:rsid w:val="6EF42C4E"/>
    <w:rsid w:val="6F857F81"/>
    <w:rsid w:val="6FBE0ECB"/>
    <w:rsid w:val="6FED466F"/>
    <w:rsid w:val="711E365B"/>
    <w:rsid w:val="712D267F"/>
    <w:rsid w:val="71951813"/>
    <w:rsid w:val="72C62094"/>
    <w:rsid w:val="733A266C"/>
    <w:rsid w:val="73F848A2"/>
    <w:rsid w:val="741C4516"/>
    <w:rsid w:val="745C4374"/>
    <w:rsid w:val="746801F0"/>
    <w:rsid w:val="756501D1"/>
    <w:rsid w:val="75CB06B8"/>
    <w:rsid w:val="76684159"/>
    <w:rsid w:val="76F2170F"/>
    <w:rsid w:val="778C3A59"/>
    <w:rsid w:val="77A3495A"/>
    <w:rsid w:val="786A41B8"/>
    <w:rsid w:val="786E22E7"/>
    <w:rsid w:val="78C56C18"/>
    <w:rsid w:val="790E0E19"/>
    <w:rsid w:val="797C5DCA"/>
    <w:rsid w:val="79906C0D"/>
    <w:rsid w:val="7A197E59"/>
    <w:rsid w:val="7A674E3B"/>
    <w:rsid w:val="7A97500D"/>
    <w:rsid w:val="7B5F5B2A"/>
    <w:rsid w:val="7BA45C33"/>
    <w:rsid w:val="7BF568E5"/>
    <w:rsid w:val="7C0A7A6C"/>
    <w:rsid w:val="7C2772DF"/>
    <w:rsid w:val="7DB87774"/>
    <w:rsid w:val="7E0B1F99"/>
    <w:rsid w:val="7E2A1D46"/>
    <w:rsid w:val="7E4234E1"/>
    <w:rsid w:val="7F401C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qFormat/>
    <w:uiPriority w:val="1"/>
    <w:pPr>
      <w:ind w:left="148" w:right="17"/>
      <w:jc w:val="center"/>
      <w:outlineLvl w:val="0"/>
    </w:pPr>
    <w:rPr>
      <w:b/>
      <w:bCs/>
      <w:sz w:val="30"/>
      <w:szCs w:val="30"/>
    </w:rPr>
  </w:style>
  <w:style w:type="paragraph" w:styleId="5">
    <w:name w:val="heading 2"/>
    <w:basedOn w:val="1"/>
    <w:next w:val="1"/>
    <w:qFormat/>
    <w:uiPriority w:val="1"/>
    <w:pPr>
      <w:spacing w:before="2"/>
      <w:ind w:left="238"/>
      <w:outlineLvl w:val="1"/>
    </w:pPr>
    <w:rPr>
      <w:b/>
      <w:bCs/>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before="100" w:beforeAutospacing="1" w:after="100" w:afterAutospacing="1"/>
      <w:ind w:left="200"/>
    </w:pPr>
  </w:style>
  <w:style w:type="paragraph" w:styleId="3">
    <w:name w:val="Body Text Indent"/>
    <w:basedOn w:val="1"/>
    <w:qFormat/>
    <w:uiPriority w:val="0"/>
    <w:pPr>
      <w:spacing w:after="120"/>
      <w:ind w:left="420" w:leftChars="200"/>
    </w:pPr>
    <w:rPr>
      <w:color w:val="000000"/>
      <w:szCs w:val="21"/>
    </w:rPr>
  </w:style>
  <w:style w:type="paragraph" w:styleId="6">
    <w:name w:val="Normal Indent"/>
    <w:basedOn w:val="1"/>
    <w:qFormat/>
    <w:uiPriority w:val="0"/>
    <w:pPr>
      <w:tabs>
        <w:tab w:val="left" w:pos="720"/>
      </w:tabs>
      <w:ind w:left="624" w:hanging="624"/>
      <w:textAlignment w:val="baseline"/>
    </w:pPr>
  </w:style>
  <w:style w:type="paragraph" w:styleId="7">
    <w:name w:val="annotation text"/>
    <w:basedOn w:val="1"/>
    <w:qFormat/>
    <w:uiPriority w:val="0"/>
  </w:style>
  <w:style w:type="paragraph" w:styleId="8">
    <w:name w:val="Body Text"/>
    <w:basedOn w:val="1"/>
    <w:qFormat/>
    <w:uiPriority w:val="1"/>
    <w:rPr>
      <w:sz w:val="24"/>
      <w:szCs w:val="24"/>
    </w:rPr>
  </w:style>
  <w:style w:type="paragraph" w:styleId="9">
    <w:name w:val="toc 3"/>
    <w:basedOn w:val="1"/>
    <w:next w:val="1"/>
    <w:qFormat/>
    <w:uiPriority w:val="1"/>
    <w:pPr>
      <w:spacing w:before="56"/>
      <w:ind w:left="862" w:hanging="415"/>
    </w:pPr>
    <w:rPr>
      <w:sz w:val="20"/>
      <w:szCs w:val="20"/>
    </w:rPr>
  </w:style>
  <w:style w:type="paragraph" w:styleId="10">
    <w:name w:val="footer"/>
    <w:basedOn w:val="1"/>
    <w:qFormat/>
    <w:uiPriority w:val="0"/>
    <w:pPr>
      <w:tabs>
        <w:tab w:val="center" w:pos="4153"/>
        <w:tab w:val="right" w:pos="8306"/>
      </w:tabs>
      <w:snapToGrid w:val="0"/>
    </w:pPr>
    <w:rPr>
      <w:sz w:val="18"/>
    </w:rPr>
  </w:style>
  <w:style w:type="paragraph" w:styleId="11">
    <w:name w:val="header"/>
    <w:basedOn w:val="1"/>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toc 1"/>
    <w:basedOn w:val="1"/>
    <w:next w:val="1"/>
    <w:qFormat/>
    <w:uiPriority w:val="1"/>
    <w:pPr>
      <w:spacing w:before="176"/>
      <w:ind w:left="243" w:hanging="303"/>
    </w:pPr>
    <w:rPr>
      <w:b/>
      <w:bCs/>
      <w:sz w:val="20"/>
      <w:szCs w:val="20"/>
    </w:rPr>
  </w:style>
  <w:style w:type="paragraph" w:styleId="13">
    <w:name w:val="toc 2"/>
    <w:basedOn w:val="1"/>
    <w:next w:val="1"/>
    <w:qFormat/>
    <w:uiPriority w:val="1"/>
    <w:pPr>
      <w:spacing w:before="177"/>
      <w:ind w:left="546" w:hanging="303"/>
    </w:pPr>
    <w:rPr>
      <w:b/>
      <w:bCs/>
      <w:i/>
    </w:rPr>
  </w:style>
  <w:style w:type="paragraph" w:styleId="14">
    <w:name w:val="Normal (Web)"/>
    <w:basedOn w:val="1"/>
    <w:qFormat/>
    <w:uiPriority w:val="0"/>
    <w:pPr>
      <w:spacing w:beforeAutospacing="1" w:afterAutospacing="1"/>
    </w:pPr>
    <w:rPr>
      <w:rFonts w:cs="Times New Roman"/>
      <w:sz w:val="24"/>
      <w:lang w:val="en-US" w:bidi="ar-SA"/>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semiHidden/>
    <w:qFormat/>
    <w:uiPriority w:val="0"/>
  </w:style>
  <w:style w:type="character" w:styleId="19">
    <w:name w:val="Hyperlink"/>
    <w:basedOn w:val="17"/>
    <w:qFormat/>
    <w:uiPriority w:val="0"/>
    <w:rPr>
      <w:color w:val="0000FF"/>
      <w:u w:val="single"/>
    </w:rPr>
  </w:style>
  <w:style w:type="table" w:customStyle="1" w:styleId="20">
    <w:name w:val="Table Normal"/>
    <w:unhideWhenUsed/>
    <w:qFormat/>
    <w:uiPriority w:val="2"/>
    <w:tblPr>
      <w:tblCellMar>
        <w:top w:w="0" w:type="dxa"/>
        <w:left w:w="0" w:type="dxa"/>
        <w:bottom w:w="0" w:type="dxa"/>
        <w:right w:w="0" w:type="dxa"/>
      </w:tblCellMar>
    </w:tblPr>
  </w:style>
  <w:style w:type="paragraph" w:customStyle="1" w:styleId="21">
    <w:name w:val="列表段落1"/>
    <w:basedOn w:val="1"/>
    <w:qFormat/>
    <w:uiPriority w:val="1"/>
    <w:pPr>
      <w:spacing w:before="1"/>
      <w:ind w:left="238" w:firstLine="480"/>
    </w:pPr>
  </w:style>
  <w:style w:type="paragraph" w:customStyle="1" w:styleId="22">
    <w:name w:val="Table Paragraph"/>
    <w:basedOn w:val="1"/>
    <w:qFormat/>
    <w:uiPriority w:val="1"/>
    <w:pPr>
      <w:spacing w:before="20"/>
      <w:ind w:left="107"/>
    </w:pPr>
  </w:style>
  <w:style w:type="paragraph" w:customStyle="1" w:styleId="23">
    <w:name w:val="Table Text"/>
    <w:basedOn w:val="1"/>
    <w:semiHidden/>
    <w:qFormat/>
    <w:uiPriority w:val="0"/>
    <w:rPr>
      <w:rFonts w:ascii="Arial" w:hAnsi="Arial" w:eastAsia="Arial" w:cs="Arial"/>
      <w:sz w:val="21"/>
      <w:szCs w:val="21"/>
      <w:lang w:val="en-US" w:eastAsia="en-US" w:bidi="ar-SA"/>
    </w:rPr>
  </w:style>
  <w:style w:type="paragraph" w:customStyle="1" w:styleId="24">
    <w:name w:val="表格 正文"/>
    <w:next w:val="8"/>
    <w:qFormat/>
    <w:uiPriority w:val="0"/>
    <w:pPr>
      <w:spacing w:line="360" w:lineRule="auto"/>
    </w:pPr>
    <w:rPr>
      <w:rFonts w:ascii="Calibri" w:hAnsi="Calibri" w:eastAsia="宋体" w:cs="Times New Roman"/>
      <w:kern w:val="2"/>
      <w:sz w:val="21"/>
      <w:szCs w:val="21"/>
      <w:lang w:val="en-US" w:eastAsia="zh-CN" w:bidi="ar-SA"/>
    </w:rPr>
  </w:style>
  <w:style w:type="character" w:customStyle="1" w:styleId="25">
    <w:name w:val="font81"/>
    <w:basedOn w:val="17"/>
    <w:qFormat/>
    <w:uiPriority w:val="0"/>
    <w:rPr>
      <w:rFonts w:ascii="Calibri" w:hAnsi="Calibri" w:cs="Calibri"/>
      <w:color w:val="000000"/>
      <w:sz w:val="20"/>
      <w:szCs w:val="20"/>
      <w:u w:val="none"/>
    </w:rPr>
  </w:style>
  <w:style w:type="character" w:customStyle="1" w:styleId="26">
    <w:name w:val="font21"/>
    <w:basedOn w:val="17"/>
    <w:qFormat/>
    <w:uiPriority w:val="0"/>
    <w:rPr>
      <w:rFonts w:hint="eastAsia" w:ascii="宋体" w:hAnsi="宋体" w:eastAsia="宋体" w:cs="宋体"/>
      <w:color w:val="000000"/>
      <w:sz w:val="20"/>
      <w:szCs w:val="20"/>
      <w:u w:val="none"/>
    </w:rPr>
  </w:style>
  <w:style w:type="character" w:customStyle="1" w:styleId="27">
    <w:name w:val="font91"/>
    <w:basedOn w:val="17"/>
    <w:qFormat/>
    <w:uiPriority w:val="0"/>
    <w:rPr>
      <w:rFonts w:hint="default" w:ascii="Times New Roman" w:hAnsi="Times New Roman" w:cs="Times New Roman"/>
      <w:color w:val="000000"/>
      <w:sz w:val="20"/>
      <w:szCs w:val="20"/>
      <w:u w:val="none"/>
    </w:rPr>
  </w:style>
  <w:style w:type="character" w:customStyle="1" w:styleId="28">
    <w:name w:val="font71"/>
    <w:basedOn w:val="17"/>
    <w:qFormat/>
    <w:uiPriority w:val="0"/>
    <w:rPr>
      <w:rFonts w:hint="eastAsia" w:ascii="宋体" w:hAnsi="宋体" w:eastAsia="宋体" w:cs="宋体"/>
      <w:color w:val="000000"/>
      <w:sz w:val="24"/>
      <w:szCs w:val="24"/>
      <w:u w:val="none"/>
    </w:rPr>
  </w:style>
  <w:style w:type="character" w:customStyle="1" w:styleId="29">
    <w:name w:val="font61"/>
    <w:basedOn w:val="17"/>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2645</Words>
  <Characters>2874</Characters>
  <Lines>21</Lines>
  <Paragraphs>6</Paragraphs>
  <TotalTime>5</TotalTime>
  <ScaleCrop>false</ScaleCrop>
  <LinksUpToDate>false</LinksUpToDate>
  <CharactersWithSpaces>2948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2021-07-30T06:51:00Z</dcterms:created>
  <dc:creator>DELL</dc:creator>
  <cp:lastModifiedBy>毓</cp:lastModifiedBy>
  <dcterms:modified xsi:type="dcterms:W3CDTF">2026-02-12T01:55:14Z</dcterms:modified>
  <dc:title>西安市地铁三号线一期工程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2018-09-07T00:00:00Z</vt:filetime>
  </property>
  <property fmtid="{D5CDD505-2E9C-101B-9397-08002B2CF9AE}" pid="3" name="Creator">
    <vt:lpwstr>Microsoft® Word 2013</vt:lpwstr>
  </property>
  <property fmtid="{D5CDD505-2E9C-101B-9397-08002B2CF9AE}" pid="4" name="LastSaved">
    <vt:filetime>2021-07-30T00:00:00Z</vt:filetime>
  </property>
  <property fmtid="{D5CDD505-2E9C-101B-9397-08002B2CF9AE}" pid="5" name="KSOProductBuildVer">
    <vt:lpwstr>2052-12.1.0.24657</vt:lpwstr>
  </property>
  <property fmtid="{D5CDD505-2E9C-101B-9397-08002B2CF9AE}" pid="6" name="ICV">
    <vt:lpwstr>EEB7EA9560BC40DBA1635213AA703873_13</vt:lpwstr>
  </property>
  <property fmtid="{D5CDD505-2E9C-101B-9397-08002B2CF9AE}" pid="7" name="KSOTemplateDocerSaveRecord">
    <vt:lpwstr>eyJoZGlkIjoiNjc1YTU5Yzk0MmJmZTNjYjEzZWZhNWVlMWRhZWFhMzEiLCJ1c2VySWQiOiI1NDkzNDg4NTEifQ==</vt:lpwstr>
  </property>
</Properties>
</file>