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47041">
      <w:pPr>
        <w:widowControl/>
        <w:jc w:val="center"/>
        <w:rPr>
          <w:rFonts w:ascii="Times New Roman" w:hAnsi="Times New Roman" w:cs="Times New Roman"/>
          <w:color w:val="auto"/>
          <w:kern w:val="0"/>
          <w:highlight w:val="none"/>
        </w:rPr>
      </w:pPr>
      <w:bookmarkStart w:id="0" w:name="OLE_LINK21"/>
      <w:bookmarkStart w:id="1" w:name="OLE_LINK13"/>
      <w:bookmarkStart w:id="2" w:name="OLE_LINK18"/>
      <w:bookmarkStart w:id="3" w:name="OLE_LINK10"/>
      <w:bookmarkStart w:id="4" w:name="OLE_LINK11"/>
      <w:bookmarkStart w:id="5" w:name="OLE_LINK2"/>
      <w:bookmarkStart w:id="6" w:name="OLE_LINK4"/>
      <w:bookmarkStart w:id="7" w:name="OLE_LINK14"/>
      <w:bookmarkStart w:id="8" w:name="OLE_LINK29"/>
      <w:bookmarkStart w:id="9" w:name="OLE_LINK25"/>
      <w:bookmarkStart w:id="10" w:name="OLE_LINK22"/>
      <w:bookmarkStart w:id="11" w:name="OLE_LINK20"/>
      <w:bookmarkStart w:id="12" w:name="OLE_LINK27"/>
      <w:bookmarkStart w:id="13" w:name="OLE_LINK23"/>
      <w:bookmarkStart w:id="14" w:name="OLE_LINK28"/>
      <w:bookmarkStart w:id="15" w:name="OLE_LINK9"/>
      <w:bookmarkStart w:id="16" w:name="OLE_LINK26"/>
      <w:bookmarkStart w:id="17" w:name="OLE_LINK1"/>
      <w:bookmarkStart w:id="18" w:name="OLE_LINK24"/>
      <w:bookmarkStart w:id="19" w:name="OLE_LINK32"/>
      <w:bookmarkStart w:id="20" w:name="OLE_LINK31"/>
      <w:r>
        <w:rPr>
          <w:rFonts w:hint="eastAsia" w:ascii="宋体" w:hAnsi="宋体" w:cs="宋体"/>
          <w:b/>
          <w:bCs/>
          <w:color w:val="auto"/>
          <w:kern w:val="0"/>
          <w:sz w:val="44"/>
          <w:szCs w:val="44"/>
          <w:highlight w:val="none"/>
        </w:rPr>
        <w:t>采购公告</w:t>
      </w:r>
      <w:bookmarkEnd w:id="0"/>
      <w:bookmarkEnd w:id="1"/>
      <w:bookmarkEnd w:id="2"/>
      <w:bookmarkEnd w:id="3"/>
      <w:bookmarkEnd w:id="4"/>
    </w:p>
    <w:bookmarkEnd w:id="5"/>
    <w:bookmarkEnd w:id="6"/>
    <w:bookmarkEnd w:id="7"/>
    <w:tbl>
      <w:tblPr>
        <w:tblStyle w:val="9"/>
        <w:tblW w:w="9737" w:type="dxa"/>
        <w:jc w:val="center"/>
        <w:tblLayout w:type="fixed"/>
        <w:tblCellMar>
          <w:top w:w="0" w:type="dxa"/>
          <w:left w:w="0" w:type="dxa"/>
          <w:bottom w:w="0" w:type="dxa"/>
          <w:right w:w="0" w:type="dxa"/>
        </w:tblCellMar>
      </w:tblPr>
      <w:tblGrid>
        <w:gridCol w:w="30"/>
        <w:gridCol w:w="1842"/>
        <w:gridCol w:w="7865"/>
      </w:tblGrid>
      <w:tr w14:paraId="0C74C17C">
        <w:tblPrEx>
          <w:tblCellMar>
            <w:top w:w="0" w:type="dxa"/>
            <w:left w:w="0" w:type="dxa"/>
            <w:bottom w:w="0" w:type="dxa"/>
            <w:right w:w="0" w:type="dxa"/>
          </w:tblCellMar>
        </w:tblPrEx>
        <w:trPr>
          <w:trHeight w:val="471" w:hRule="atLeast"/>
          <w:jc w:val="center"/>
        </w:trPr>
        <w:tc>
          <w:tcPr>
            <w:tcW w:w="30" w:type="dxa"/>
            <w:tcBorders>
              <w:top w:val="nil"/>
              <w:left w:val="nil"/>
              <w:bottom w:val="nil"/>
              <w:right w:val="single" w:color="auto" w:sz="8" w:space="0"/>
            </w:tcBorders>
            <w:vAlign w:val="center"/>
          </w:tcPr>
          <w:p w14:paraId="07E64334">
            <w:pPr>
              <w:rPr>
                <w:rFonts w:hint="default" w:ascii="Times New Roman" w:hAnsi="Times New Roman" w:cs="Times New Roman"/>
                <w:color w:val="auto"/>
                <w:sz w:val="24"/>
                <w:szCs w:val="24"/>
                <w:highlight w:val="none"/>
              </w:rPr>
            </w:pPr>
            <w:bookmarkStart w:id="21" w:name="OLE_LINK12"/>
            <w:bookmarkStart w:id="22" w:name="OLE_LINK17"/>
            <w:bookmarkStart w:id="23" w:name="OLE_LINK5"/>
            <w:bookmarkStart w:id="24" w:name="OLE_LINK19"/>
            <w:bookmarkStart w:id="25" w:name="OLE_LINK8"/>
            <w:bookmarkStart w:id="26" w:name="OLE_LINK3"/>
            <w:bookmarkStart w:id="27" w:name="OLE_LINK15"/>
            <w:bookmarkStart w:id="28" w:name="OLE_LINK16"/>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262320E7">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项目名称</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964315A">
            <w:pPr>
              <w:jc w:val="center"/>
              <w:rPr>
                <w:rFonts w:hint="default" w:ascii="Times New Roman" w:hAnsi="Times New Roman" w:cs="Times New Roman"/>
                <w:color w:val="auto"/>
                <w:sz w:val="24"/>
                <w:highlight w:val="none"/>
                <w:lang w:val="en-US"/>
              </w:rPr>
            </w:pPr>
            <w:r>
              <w:rPr>
                <w:rFonts w:hint="default" w:ascii="Times New Roman" w:hAnsi="Times New Roman" w:cs="Times New Roman"/>
                <w:b/>
                <w:bCs/>
                <w:color w:val="auto"/>
                <w:sz w:val="24"/>
                <w:szCs w:val="24"/>
                <w:highlight w:val="none"/>
              </w:rPr>
              <w:t>常州地铁1、2号线2026年度计量器具采购项目</w:t>
            </w:r>
          </w:p>
        </w:tc>
      </w:tr>
      <w:tr w14:paraId="0BE23354">
        <w:tblPrEx>
          <w:tblCellMar>
            <w:top w:w="0" w:type="dxa"/>
            <w:left w:w="0" w:type="dxa"/>
            <w:bottom w:w="0" w:type="dxa"/>
            <w:right w:w="0" w:type="dxa"/>
          </w:tblCellMar>
        </w:tblPrEx>
        <w:trPr>
          <w:trHeight w:val="528" w:hRule="atLeast"/>
          <w:jc w:val="center"/>
        </w:trPr>
        <w:tc>
          <w:tcPr>
            <w:tcW w:w="30" w:type="dxa"/>
            <w:tcBorders>
              <w:top w:val="nil"/>
              <w:left w:val="nil"/>
              <w:bottom w:val="nil"/>
              <w:right w:val="single" w:color="auto" w:sz="8" w:space="0"/>
            </w:tcBorders>
            <w:vAlign w:val="center"/>
          </w:tcPr>
          <w:p w14:paraId="204F30A5">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021C4038">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项目编号</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1DDF390C">
            <w:pPr>
              <w:rPr>
                <w:rFonts w:hint="default" w:ascii="Times New Roman" w:hAnsi="Times New Roman" w:cs="Times New Roman"/>
                <w:color w:val="auto"/>
                <w:sz w:val="24"/>
                <w:highlight w:val="none"/>
              </w:rPr>
            </w:pPr>
          </w:p>
        </w:tc>
      </w:tr>
      <w:tr w14:paraId="10CA5E67">
        <w:tblPrEx>
          <w:tblCellMar>
            <w:top w:w="0" w:type="dxa"/>
            <w:left w:w="0" w:type="dxa"/>
            <w:bottom w:w="0" w:type="dxa"/>
            <w:right w:w="0" w:type="dxa"/>
          </w:tblCellMar>
        </w:tblPrEx>
        <w:trPr>
          <w:trHeight w:val="528" w:hRule="atLeast"/>
          <w:jc w:val="center"/>
        </w:trPr>
        <w:tc>
          <w:tcPr>
            <w:tcW w:w="30" w:type="dxa"/>
            <w:tcBorders>
              <w:top w:val="nil"/>
              <w:left w:val="nil"/>
              <w:bottom w:val="nil"/>
              <w:right w:val="single" w:color="auto" w:sz="8" w:space="0"/>
            </w:tcBorders>
            <w:vAlign w:val="center"/>
          </w:tcPr>
          <w:p w14:paraId="2B69092F">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54E456C">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采购内容及要求</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385FEF1B">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见附件1</w:t>
            </w:r>
          </w:p>
        </w:tc>
      </w:tr>
      <w:tr w14:paraId="6A22A97E">
        <w:tblPrEx>
          <w:tblCellMar>
            <w:top w:w="0" w:type="dxa"/>
            <w:left w:w="0" w:type="dxa"/>
            <w:bottom w:w="0" w:type="dxa"/>
            <w:right w:w="0" w:type="dxa"/>
          </w:tblCellMar>
        </w:tblPrEx>
        <w:trPr>
          <w:trHeight w:val="566" w:hRule="atLeast"/>
          <w:jc w:val="center"/>
        </w:trPr>
        <w:tc>
          <w:tcPr>
            <w:tcW w:w="30" w:type="dxa"/>
            <w:tcBorders>
              <w:top w:val="nil"/>
              <w:left w:val="nil"/>
              <w:bottom w:val="nil"/>
              <w:right w:val="single" w:color="auto" w:sz="8" w:space="0"/>
            </w:tcBorders>
            <w:vAlign w:val="center"/>
          </w:tcPr>
          <w:p w14:paraId="71E751C7">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A67BCE2">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采购方式</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F90928D">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公开</w:t>
            </w:r>
            <w:r>
              <w:rPr>
                <w:rFonts w:hint="eastAsia" w:ascii="Times New Roman" w:hAnsi="Times New Roman" w:cs="Times New Roman"/>
                <w:color w:val="auto"/>
                <w:sz w:val="24"/>
                <w:szCs w:val="24"/>
                <w:highlight w:val="none"/>
                <w:lang w:val="en-US" w:eastAsia="zh-CN"/>
              </w:rPr>
              <w:t>竞</w:t>
            </w:r>
            <w:r>
              <w:rPr>
                <w:rFonts w:hint="default" w:ascii="Times New Roman" w:hAnsi="Times New Roman" w:cs="Times New Roman"/>
                <w:color w:val="auto"/>
                <w:sz w:val="24"/>
                <w:szCs w:val="24"/>
                <w:highlight w:val="none"/>
                <w:lang w:val="en-US" w:eastAsia="zh-CN"/>
              </w:rPr>
              <w:t>价，</w:t>
            </w:r>
            <w:r>
              <w:rPr>
                <w:rFonts w:hint="default" w:ascii="Times New Roman" w:hAnsi="Times New Roman" w:cs="Times New Roman"/>
                <w:color w:val="auto"/>
                <w:sz w:val="24"/>
                <w:szCs w:val="24"/>
                <w:highlight w:val="none"/>
              </w:rPr>
              <w:t>一次性报价</w:t>
            </w:r>
          </w:p>
        </w:tc>
      </w:tr>
      <w:tr w14:paraId="120BE080">
        <w:tblPrEx>
          <w:tblCellMar>
            <w:top w:w="0" w:type="dxa"/>
            <w:left w:w="0" w:type="dxa"/>
            <w:bottom w:w="0" w:type="dxa"/>
            <w:right w:w="0" w:type="dxa"/>
          </w:tblCellMar>
        </w:tblPrEx>
        <w:trPr>
          <w:trHeight w:val="719" w:hRule="atLeast"/>
          <w:jc w:val="center"/>
        </w:trPr>
        <w:tc>
          <w:tcPr>
            <w:tcW w:w="30" w:type="dxa"/>
            <w:tcBorders>
              <w:top w:val="nil"/>
              <w:left w:val="nil"/>
              <w:bottom w:val="nil"/>
              <w:right w:val="single" w:color="auto" w:sz="8" w:space="0"/>
            </w:tcBorders>
            <w:vAlign w:val="center"/>
          </w:tcPr>
          <w:p w14:paraId="262D87AC">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321BB100">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报价人</w:t>
            </w:r>
          </w:p>
          <w:p w14:paraId="56AC4DAA">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资格条件</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0761C08">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szCs w:val="24"/>
                <w:highlight w:val="none"/>
                <w:lang w:eastAsia="zh-CN"/>
              </w:rPr>
            </w:pPr>
            <w:bookmarkStart w:id="29" w:name="OLE_LINK30"/>
            <w:r>
              <w:rPr>
                <w:rFonts w:hint="default" w:ascii="宋体" w:hAnsi="宋体" w:eastAsia="宋体" w:cs="宋体"/>
                <w:b/>
                <w:bCs/>
                <w:color w:val="auto"/>
                <w:kern w:val="2"/>
                <w:sz w:val="22"/>
                <w:szCs w:val="22"/>
                <w:lang w:val="en-US" w:eastAsia="zh-CN" w:bidi="ar-SA"/>
              </w:rPr>
              <w:t>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"http://www.ejy365.com/register" </w:instrText>
            </w:r>
            <w:r>
              <w:rPr>
                <w:rFonts w:hint="eastAsia" w:ascii="宋体" w:hAnsi="宋体" w:eastAsia="宋体" w:cs="宋体"/>
                <w:color w:val="auto"/>
                <w:sz w:val="24"/>
                <w:szCs w:val="24"/>
                <w:highlight w:val="none"/>
              </w:rPr>
              <w:fldChar w:fldCharType="separate"/>
            </w:r>
            <w:r>
              <w:rPr>
                <w:rStyle w:val="12"/>
                <w:rFonts w:hint="eastAsia" w:ascii="宋体" w:hAnsi="宋体" w:eastAsia="宋体" w:cs="宋体"/>
                <w:color w:val="auto"/>
                <w:sz w:val="24"/>
                <w:szCs w:val="24"/>
                <w:highlight w:val="none"/>
              </w:rPr>
              <w:t>注册</w:t>
            </w:r>
            <w:bookmarkEnd w:id="29"/>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并审核通过成为“E交易”认证会员</w:t>
            </w:r>
            <w:r>
              <w:rPr>
                <w:rFonts w:hint="eastAsia" w:ascii="宋体" w:hAnsi="宋体" w:eastAsia="宋体" w:cs="宋体"/>
                <w:color w:val="auto"/>
                <w:sz w:val="24"/>
                <w:szCs w:val="24"/>
                <w:highlight w:val="none"/>
                <w:lang w:eastAsia="zh-CN"/>
              </w:rPr>
              <w:t>；</w:t>
            </w:r>
          </w:p>
          <w:p w14:paraId="28D9308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color w:val="auto"/>
                <w:highlight w:val="none"/>
                <w:lang w:val="en-US" w:eastAsia="zh-CN"/>
              </w:rPr>
            </w:pPr>
            <w:r>
              <w:rPr>
                <w:rFonts w:hint="default" w:ascii="宋体" w:hAnsi="宋体" w:eastAsia="宋体" w:cs="宋体"/>
                <w:b/>
                <w:bCs/>
                <w:color w:val="auto"/>
                <w:kern w:val="2"/>
                <w:sz w:val="22"/>
                <w:szCs w:val="22"/>
                <w:lang w:val="en-US" w:eastAsia="zh-CN" w:bidi="ar-SA"/>
              </w:rPr>
              <w:t>2．</w:t>
            </w:r>
            <w:r>
              <w:rPr>
                <w:rFonts w:hint="eastAsia" w:ascii="宋体" w:hAnsi="宋体" w:eastAsia="宋体" w:cs="宋体"/>
                <w:color w:val="auto"/>
                <w:sz w:val="24"/>
                <w:highlight w:val="none"/>
                <w:lang w:val="en-US" w:eastAsia="zh-CN"/>
              </w:rPr>
              <w:t>具有独立法人资格、持有合法有效的企业法人营业执照或事业单位法人证书，并按要求上传有效证书扫描件</w:t>
            </w:r>
            <w:r>
              <w:rPr>
                <w:rFonts w:hint="eastAsia" w:ascii="宋体" w:hAnsi="宋体" w:eastAsia="宋体" w:cs="宋体"/>
                <w:color w:val="auto"/>
                <w:sz w:val="24"/>
                <w:szCs w:val="24"/>
                <w:highlight w:val="none"/>
                <w:lang w:eastAsia="zh-CN"/>
              </w:rPr>
              <w:t>。被常州地铁集团有限公司列入拒绝参与招标采购单位且在拒绝期内的单位，不得参与本项目投标</w:t>
            </w:r>
            <w:r>
              <w:rPr>
                <w:rFonts w:hint="eastAsia" w:ascii="宋体" w:hAnsi="宋体" w:cs="宋体"/>
                <w:color w:val="auto"/>
                <w:sz w:val="24"/>
                <w:szCs w:val="24"/>
                <w:highlight w:val="none"/>
                <w:lang w:val="en-US" w:eastAsia="zh-CN"/>
              </w:rPr>
              <w:t>；</w:t>
            </w:r>
          </w:p>
          <w:p w14:paraId="2FA0C541">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szCs w:val="24"/>
                <w:highlight w:val="none"/>
                <w:lang w:val="en-US" w:eastAsia="zh-CN"/>
              </w:rPr>
            </w:pPr>
            <w:r>
              <w:rPr>
                <w:rFonts w:hint="default" w:ascii="宋体" w:hAnsi="宋体" w:eastAsia="宋体" w:cs="宋体"/>
                <w:b/>
                <w:bCs/>
                <w:color w:val="auto"/>
                <w:kern w:val="2"/>
                <w:sz w:val="22"/>
                <w:szCs w:val="22"/>
                <w:lang w:val="en-US" w:eastAsia="zh-CN" w:bidi="ar-SA"/>
              </w:rPr>
              <w:t>3．</w:t>
            </w:r>
            <w:r>
              <w:rPr>
                <w:rFonts w:hint="eastAsia" w:ascii="宋体" w:hAnsi="宋体" w:eastAsia="宋体" w:cs="宋体"/>
                <w:color w:val="auto"/>
                <w:sz w:val="24"/>
                <w:szCs w:val="24"/>
                <w:highlight w:val="none"/>
                <w:lang w:val="en-US" w:eastAsia="zh-CN"/>
              </w:rPr>
              <w:t>不接受联合体投标</w:t>
            </w:r>
            <w:r>
              <w:rPr>
                <w:rFonts w:hint="eastAsia" w:ascii="宋体" w:hAnsi="宋体" w:cs="宋体"/>
                <w:color w:val="auto"/>
                <w:sz w:val="24"/>
                <w:szCs w:val="24"/>
                <w:highlight w:val="none"/>
                <w:lang w:val="en-US" w:eastAsia="zh-CN"/>
              </w:rPr>
              <w:t>；</w:t>
            </w:r>
          </w:p>
          <w:p w14:paraId="1BE0CD0D">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szCs w:val="24"/>
                <w:highlight w:val="none"/>
                <w:lang w:val="en-US" w:eastAsia="zh-CN"/>
              </w:rPr>
            </w:pPr>
            <w:r>
              <w:rPr>
                <w:rFonts w:hint="default" w:ascii="宋体" w:hAnsi="宋体" w:eastAsia="宋体" w:cs="宋体"/>
                <w:b/>
                <w:bCs/>
                <w:color w:val="auto"/>
                <w:kern w:val="2"/>
                <w:sz w:val="22"/>
                <w:szCs w:val="22"/>
                <w:lang w:val="en-US" w:eastAsia="zh-CN" w:bidi="ar-SA"/>
              </w:rPr>
              <w:t>4．</w:t>
            </w:r>
            <w:r>
              <w:rPr>
                <w:rFonts w:hint="eastAsia" w:ascii="宋体" w:hAnsi="宋体" w:eastAsia="宋体" w:cs="宋体"/>
                <w:color w:val="auto"/>
                <w:sz w:val="24"/>
                <w:highlight w:val="none"/>
              </w:rPr>
              <w:t>供应商须同步下载附件3报价单，并按该格式填写</w:t>
            </w:r>
            <w:r>
              <w:rPr>
                <w:rFonts w:hint="eastAsia" w:ascii="宋体" w:hAnsi="宋体" w:eastAsia="宋体" w:cs="宋体"/>
                <w:color w:val="auto"/>
                <w:sz w:val="24"/>
                <w:highlight w:val="none"/>
                <w:lang w:val="en-US" w:eastAsia="zh-CN"/>
              </w:rPr>
              <w:t>正式报价单</w:t>
            </w:r>
            <w:r>
              <w:rPr>
                <w:rFonts w:hint="eastAsia" w:ascii="宋体" w:hAnsi="宋体" w:eastAsia="宋体" w:cs="宋体"/>
                <w:color w:val="auto"/>
                <w:sz w:val="24"/>
                <w:highlight w:val="none"/>
              </w:rPr>
              <w:t>（盖章）扫描件上传，同时按平台要求录入报价数据，未按要求上传或录入的视为无效报价</w:t>
            </w:r>
            <w:r>
              <w:rPr>
                <w:rFonts w:hint="eastAsia" w:ascii="宋体" w:hAnsi="宋体" w:eastAsia="宋体" w:cs="宋体"/>
                <w:color w:val="auto"/>
                <w:sz w:val="24"/>
                <w:highlight w:val="none"/>
                <w:lang w:eastAsia="zh-CN"/>
              </w:rPr>
              <w:t>；</w:t>
            </w:r>
            <w:bookmarkStart w:id="30" w:name="_GoBack"/>
            <w:bookmarkEnd w:id="30"/>
          </w:p>
          <w:p w14:paraId="3BDAEFED">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highlight w:val="none"/>
              </w:rPr>
            </w:pPr>
            <w:r>
              <w:rPr>
                <w:rFonts w:hint="default" w:ascii="宋体" w:hAnsi="宋体" w:eastAsia="宋体" w:cs="宋体"/>
                <w:b/>
                <w:bCs/>
                <w:color w:val="auto"/>
                <w:kern w:val="2"/>
                <w:sz w:val="22"/>
                <w:szCs w:val="22"/>
                <w:lang w:val="en-US" w:eastAsia="zh-CN" w:bidi="ar-SA"/>
              </w:rPr>
              <w:t>5．</w:t>
            </w:r>
            <w:r>
              <w:rPr>
                <w:rFonts w:hint="eastAsia" w:ascii="宋体" w:hAnsi="宋体" w:eastAsia="宋体" w:cs="宋体"/>
                <w:color w:val="auto"/>
                <w:sz w:val="24"/>
                <w:highlight w:val="none"/>
              </w:rPr>
              <w:t>采购截止时间之后，采购人对供应商上传的报价文件、营业执照</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szCs w:val="24"/>
                <w:highlight w:val="none"/>
                <w:lang w:val="en-US" w:eastAsia="zh-CN"/>
              </w:rPr>
              <w:t>相关证明文件</w:t>
            </w:r>
            <w:r>
              <w:rPr>
                <w:rFonts w:hint="eastAsia" w:ascii="宋体" w:hAnsi="宋体" w:eastAsia="宋体" w:cs="宋体"/>
                <w:color w:val="auto"/>
                <w:sz w:val="24"/>
                <w:highlight w:val="none"/>
              </w:rPr>
              <w:t>等进行审查（相关文件原件备查），在符合要求的前提下选择投标总价（即含税总价）最低的供应商作为成交供应商；</w:t>
            </w:r>
          </w:p>
          <w:p w14:paraId="4FF71F67">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b/>
                <w:bCs/>
                <w:color w:val="auto"/>
                <w:kern w:val="2"/>
                <w:sz w:val="22"/>
                <w:szCs w:val="22"/>
                <w:lang w:val="en-US" w:eastAsia="zh-CN" w:bidi="ar-SA"/>
              </w:rPr>
              <w:t>6．</w:t>
            </w:r>
            <w:r>
              <w:rPr>
                <w:rFonts w:hint="eastAsia" w:ascii="宋体" w:hAnsi="宋体" w:eastAsia="宋体" w:cs="宋体"/>
                <w:color w:val="auto"/>
                <w:sz w:val="24"/>
                <w:highlight w:val="none"/>
                <w:lang w:val="en-US" w:eastAsia="zh-CN"/>
              </w:rPr>
              <w:t>项目总报价为各分项报价金额之和，总报价与分项报价的合价不一致的，应以各分项合价累计数为准，修正总报价；单价和数量的乘积与合价之间不一致时，以单价为准，修改合价；若单价有明显的小数点错位，应以合价为准，修改单价。以修正后的总报价进行比价，成交价以原项目总报价与修正总报价中较低的一个为准。（如报价方不接受修正后的数额，采购方有权否决其报价）；</w:t>
            </w:r>
          </w:p>
          <w:p w14:paraId="7BBA3FFD">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highlight w:val="none"/>
              </w:rPr>
            </w:pPr>
            <w:r>
              <w:rPr>
                <w:rFonts w:hint="default" w:ascii="宋体" w:hAnsi="宋体" w:eastAsia="宋体" w:cs="宋体"/>
                <w:b/>
                <w:bCs/>
                <w:color w:val="auto"/>
                <w:kern w:val="2"/>
                <w:sz w:val="22"/>
                <w:szCs w:val="22"/>
                <w:lang w:val="en-US" w:eastAsia="zh-CN" w:bidi="ar-SA"/>
              </w:rPr>
              <w:t>7．</w:t>
            </w:r>
            <w:r>
              <w:rPr>
                <w:rFonts w:hint="eastAsia" w:ascii="宋体" w:hAnsi="宋体" w:eastAsia="宋体" w:cs="宋体"/>
                <w:color w:val="auto"/>
                <w:sz w:val="24"/>
                <w:highlight w:val="none"/>
              </w:rPr>
              <w:t>如项目在公告截止时，报价人不足3家，项目将作流标处理；如经评审，项目明显缺乏竞争性，采购方有权作流标处理；</w:t>
            </w:r>
          </w:p>
          <w:p w14:paraId="11702CF9">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highlight w:val="none"/>
              </w:rPr>
            </w:pPr>
            <w:r>
              <w:rPr>
                <w:rFonts w:hint="default" w:ascii="宋体" w:hAnsi="宋体" w:eastAsia="宋体" w:cs="宋体"/>
                <w:b/>
                <w:bCs/>
                <w:color w:val="auto"/>
                <w:kern w:val="2"/>
                <w:sz w:val="22"/>
                <w:szCs w:val="22"/>
                <w:lang w:val="en-US" w:eastAsia="zh-CN" w:bidi="ar-SA"/>
              </w:rPr>
              <w:t>8．</w:t>
            </w:r>
            <w:r>
              <w:rPr>
                <w:rFonts w:hint="eastAsia" w:ascii="宋体" w:hAnsi="宋体" w:eastAsia="宋体" w:cs="宋体"/>
                <w:color w:val="auto"/>
                <w:sz w:val="24"/>
                <w:highlight w:val="none"/>
              </w:rPr>
              <w:t>本项目所有文件（含附件），仅作为项目</w:t>
            </w:r>
            <w:r>
              <w:rPr>
                <w:rFonts w:hint="eastAsia" w:ascii="宋体" w:hAnsi="宋体" w:eastAsia="宋体" w:cs="宋体"/>
                <w:color w:val="auto"/>
                <w:sz w:val="24"/>
                <w:highlight w:val="none"/>
                <w:lang w:val="en-US" w:eastAsia="zh-CN"/>
              </w:rPr>
              <w:t>竞</w:t>
            </w:r>
            <w:r>
              <w:rPr>
                <w:rFonts w:hint="eastAsia" w:ascii="宋体" w:hAnsi="宋体" w:eastAsia="宋体" w:cs="宋体"/>
                <w:color w:val="auto"/>
                <w:sz w:val="24"/>
                <w:highlight w:val="none"/>
              </w:rPr>
              <w:t>价报价使用。任何单位及个人不得随意传播，转发，另作它用，如对采购方造成不利影响，将依法追究法律责任；</w:t>
            </w:r>
          </w:p>
          <w:p w14:paraId="44C9AE3C">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auto"/>
                <w:sz w:val="24"/>
                <w:highlight w:val="none"/>
                <w:lang w:eastAsia="zh-CN"/>
              </w:rPr>
            </w:pPr>
            <w:r>
              <w:rPr>
                <w:rFonts w:hint="default" w:ascii="宋体" w:hAnsi="宋体" w:eastAsia="宋体" w:cs="宋体"/>
                <w:b/>
                <w:bCs/>
                <w:color w:val="auto"/>
                <w:kern w:val="2"/>
                <w:sz w:val="22"/>
                <w:szCs w:val="22"/>
                <w:lang w:val="en-US" w:eastAsia="zh-CN" w:bidi="ar-SA"/>
              </w:rPr>
              <w:t>9．</w:t>
            </w:r>
            <w:r>
              <w:rPr>
                <w:rFonts w:hint="eastAsia" w:ascii="宋体" w:hAnsi="宋体" w:eastAsia="宋体" w:cs="宋体"/>
                <w:color w:val="auto"/>
                <w:sz w:val="24"/>
                <w:highlight w:val="none"/>
              </w:rPr>
              <w:t>纪检监察举报电话：0519-68182100</w:t>
            </w:r>
            <w:r>
              <w:rPr>
                <w:rFonts w:hint="eastAsia" w:ascii="宋体" w:hAnsi="宋体" w:eastAsia="宋体" w:cs="宋体"/>
                <w:color w:val="auto"/>
                <w:sz w:val="24"/>
                <w:highlight w:val="none"/>
                <w:lang w:eastAsia="zh-CN"/>
              </w:rPr>
              <w:t>；</w:t>
            </w:r>
          </w:p>
          <w:p w14:paraId="0F32CCD4">
            <w:pPr>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color w:val="auto"/>
                <w:sz w:val="24"/>
                <w:szCs w:val="24"/>
                <w:highlight w:val="none"/>
                <w:lang w:val="en-US" w:eastAsia="zh-CN"/>
              </w:rPr>
            </w:pPr>
            <w:r>
              <w:rPr>
                <w:rFonts w:hint="default" w:ascii="宋体" w:hAnsi="宋体" w:eastAsia="宋体" w:cs="宋体"/>
                <w:b/>
                <w:bCs/>
                <w:color w:val="auto"/>
                <w:kern w:val="2"/>
                <w:sz w:val="22"/>
                <w:szCs w:val="22"/>
                <w:lang w:val="en-US" w:eastAsia="zh-CN" w:bidi="ar-SA"/>
              </w:rPr>
              <w:t>10．</w:t>
            </w:r>
            <w:r>
              <w:rPr>
                <w:rFonts w:hint="eastAsia" w:ascii="宋体" w:hAnsi="宋体" w:eastAsia="宋体" w:cs="宋体"/>
                <w:b w:val="0"/>
                <w:bCs w:val="0"/>
                <w:color w:val="auto"/>
                <w:sz w:val="24"/>
                <w:szCs w:val="24"/>
                <w:highlight w:val="none"/>
                <w:lang w:val="en-US" w:eastAsia="zh-CN"/>
              </w:rPr>
              <w:t>供应商对竞价文件如有疑问，请于报名截止时间前将疑问上传至E交易系统；</w:t>
            </w:r>
          </w:p>
        </w:tc>
      </w:tr>
      <w:tr w14:paraId="7A51D117">
        <w:tblPrEx>
          <w:tblCellMar>
            <w:top w:w="0" w:type="dxa"/>
            <w:left w:w="0" w:type="dxa"/>
            <w:bottom w:w="0" w:type="dxa"/>
            <w:right w:w="0" w:type="dxa"/>
          </w:tblCellMar>
        </w:tblPrEx>
        <w:trPr>
          <w:trHeight w:val="617" w:hRule="atLeast"/>
          <w:jc w:val="center"/>
        </w:trPr>
        <w:tc>
          <w:tcPr>
            <w:tcW w:w="30" w:type="dxa"/>
            <w:tcBorders>
              <w:top w:val="nil"/>
              <w:left w:val="nil"/>
              <w:bottom w:val="nil"/>
              <w:right w:val="single" w:color="auto" w:sz="8" w:space="0"/>
            </w:tcBorders>
            <w:vAlign w:val="center"/>
          </w:tcPr>
          <w:p w14:paraId="152A287C">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6350C639">
            <w:pPr>
              <w:jc w:val="center"/>
              <w:rPr>
                <w:rFonts w:hint="default" w:ascii="Times New Roman" w:hAnsi="Times New Roman" w:cs="Times New Roman" w:eastAsiaTheme="minorEastAsia"/>
                <w:color w:val="auto"/>
                <w:kern w:val="2"/>
                <w:sz w:val="24"/>
                <w:szCs w:val="21"/>
                <w:highlight w:val="none"/>
                <w:lang w:val="en-US" w:eastAsia="zh-CN" w:bidi="ar-SA"/>
              </w:rPr>
            </w:pPr>
            <w:r>
              <w:rPr>
                <w:rFonts w:hint="default" w:ascii="Times New Roman" w:hAnsi="Times New Roman" w:cs="Times New Roman"/>
                <w:color w:val="auto"/>
                <w:sz w:val="24"/>
                <w:highlight w:val="none"/>
                <w:lang w:val="en-US" w:eastAsia="zh-CN"/>
              </w:rPr>
              <w:t>控制价</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11FE040D">
            <w:pPr>
              <w:numPr>
                <w:ilvl w:val="0"/>
                <w:numId w:val="0"/>
              </w:numPr>
              <w:ind w:left="0" w:leftChars="0" w:firstLine="0" w:firstLineChars="0"/>
              <w:rPr>
                <w:rFonts w:hint="default" w:ascii="Times New Roman" w:hAnsi="Times New Roman" w:eastAsia="宋体" w:cs="Times New Roman"/>
                <w:color w:val="auto"/>
                <w:kern w:val="2"/>
                <w:sz w:val="24"/>
                <w:szCs w:val="21"/>
                <w:highlight w:val="none"/>
                <w:lang w:val="en-US" w:eastAsia="zh-CN" w:bidi="ar-SA"/>
              </w:rPr>
            </w:pPr>
            <w:r>
              <w:rPr>
                <w:rFonts w:hint="default" w:ascii="Times New Roman" w:hAnsi="Times New Roman" w:cs="Times New Roman"/>
                <w:color w:val="auto"/>
                <w:sz w:val="24"/>
                <w:highlight w:val="none"/>
              </w:rPr>
              <w:t>本次采购最高限价为：人民币</w:t>
            </w:r>
            <w:r>
              <w:rPr>
                <w:rFonts w:hint="eastAsia" w:ascii="Times New Roman" w:hAnsi="Times New Roman" w:cs="Times New Roman"/>
                <w:b/>
                <w:bCs/>
                <w:color w:val="auto"/>
                <w:kern w:val="0"/>
                <w:sz w:val="24"/>
                <w:szCs w:val="24"/>
                <w:highlight w:val="none"/>
                <w:lang w:val="en-US" w:eastAsia="zh-CN"/>
              </w:rPr>
              <w:t>189300</w:t>
            </w:r>
            <w:r>
              <w:rPr>
                <w:rFonts w:hint="default" w:ascii="Times New Roman" w:hAnsi="Times New Roman" w:cs="Times New Roman"/>
                <w:color w:val="auto"/>
                <w:sz w:val="24"/>
                <w:highlight w:val="none"/>
              </w:rPr>
              <w:t>元（高于最高限价的报价属于无效报价）</w:t>
            </w:r>
          </w:p>
        </w:tc>
      </w:tr>
      <w:tr w14:paraId="77E3E12B">
        <w:tblPrEx>
          <w:tblCellMar>
            <w:top w:w="0" w:type="dxa"/>
            <w:left w:w="0" w:type="dxa"/>
            <w:bottom w:w="0" w:type="dxa"/>
            <w:right w:w="0" w:type="dxa"/>
          </w:tblCellMar>
        </w:tblPrEx>
        <w:trPr>
          <w:trHeight w:val="1232" w:hRule="atLeast"/>
          <w:jc w:val="center"/>
        </w:trPr>
        <w:tc>
          <w:tcPr>
            <w:tcW w:w="30" w:type="dxa"/>
            <w:tcBorders>
              <w:top w:val="nil"/>
              <w:left w:val="nil"/>
              <w:bottom w:val="nil"/>
              <w:right w:val="single" w:color="auto" w:sz="8" w:space="0"/>
            </w:tcBorders>
            <w:vAlign w:val="center"/>
          </w:tcPr>
          <w:p w14:paraId="2263C19A">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6569821">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投标保证金</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1C70FAE9">
            <w:pPr>
              <w:numPr>
                <w:ilvl w:val="0"/>
                <w:numId w:val="0"/>
              </w:numPr>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2"/>
                <w:sz w:val="24"/>
                <w:szCs w:val="24"/>
                <w:lang w:val="en-US" w:eastAsia="zh-CN" w:bidi="ar-SA"/>
              </w:rPr>
              <w:t>1.</w:t>
            </w:r>
            <w:r>
              <w:rPr>
                <w:rFonts w:hint="default" w:ascii="Times New Roman" w:hAnsi="Times New Roman" w:cs="Times New Roman"/>
                <w:color w:val="auto"/>
                <w:sz w:val="24"/>
                <w:szCs w:val="24"/>
                <w:highlight w:val="none"/>
              </w:rPr>
              <w:t>缴纳金额：</w:t>
            </w:r>
            <w:r>
              <w:rPr>
                <w:rFonts w:hint="default" w:ascii="Times New Roman" w:hAnsi="Times New Roman" w:cs="Times New Roman"/>
                <w:b/>
                <w:bCs/>
                <w:color w:val="auto"/>
                <w:sz w:val="24"/>
                <w:szCs w:val="24"/>
                <w:highlight w:val="none"/>
              </w:rPr>
              <w:t>人民币</w:t>
            </w:r>
            <w:r>
              <w:rPr>
                <w:rFonts w:hint="eastAsia" w:ascii="Times New Roman" w:hAnsi="Times New Roman" w:cs="Times New Roman"/>
                <w:b/>
                <w:bCs/>
                <w:color w:val="auto"/>
                <w:sz w:val="24"/>
                <w:szCs w:val="24"/>
                <w:highlight w:val="none"/>
                <w:lang w:val="en-US" w:eastAsia="zh-CN"/>
              </w:rPr>
              <w:t>叁仟柒佰元</w:t>
            </w:r>
            <w:r>
              <w:rPr>
                <w:rFonts w:hint="default" w:ascii="Times New Roman" w:hAnsi="Times New Roman" w:cs="Times New Roman"/>
                <w:b/>
                <w:bCs/>
                <w:color w:val="auto"/>
                <w:sz w:val="24"/>
                <w:szCs w:val="24"/>
                <w:highlight w:val="none"/>
              </w:rPr>
              <w:t>整；</w:t>
            </w:r>
          </w:p>
          <w:p w14:paraId="360E08EE">
            <w:pPr>
              <w:numPr>
                <w:ilvl w:val="0"/>
                <w:numId w:val="0"/>
              </w:numP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2.截止时间：20</w:t>
            </w:r>
            <w:r>
              <w:rPr>
                <w:rFonts w:hint="default"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月</w:t>
            </w:r>
            <w:r>
              <w:rPr>
                <w:rFonts w:hint="eastAsia" w:ascii="Times New Roman" w:hAnsi="Times New Roman" w:cs="Times New Roman"/>
                <w:color w:val="auto"/>
                <w:sz w:val="24"/>
                <w:szCs w:val="24"/>
                <w:highlight w:val="none"/>
                <w:lang w:val="en-US" w:eastAsia="zh-CN"/>
              </w:rPr>
              <w:t>29</w:t>
            </w:r>
            <w:r>
              <w:rPr>
                <w:rFonts w:hint="default" w:ascii="Times New Roman" w:hAnsi="Times New Roman" w:cs="Times New Roman"/>
                <w:color w:val="auto"/>
                <w:sz w:val="24"/>
                <w:szCs w:val="24"/>
                <w:highlight w:val="none"/>
              </w:rPr>
              <w:t>日下午17:00（北京时间）</w:t>
            </w:r>
            <w:r>
              <w:rPr>
                <w:rFonts w:hint="default" w:ascii="Times New Roman" w:hAnsi="Times New Roman" w:cs="Times New Roman"/>
                <w:color w:val="auto"/>
                <w:sz w:val="24"/>
                <w:szCs w:val="24"/>
                <w:highlight w:val="none"/>
                <w:lang w:eastAsia="zh-CN"/>
              </w:rPr>
              <w:t>；</w:t>
            </w:r>
          </w:p>
          <w:p w14:paraId="471592E0">
            <w:pP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3.退还：中标供应商保证金在合同签订后7个工作日内退还，非中标供应商保证金在成交公告发布后7个工作日内退还</w:t>
            </w:r>
            <w:r>
              <w:rPr>
                <w:rFonts w:hint="default" w:ascii="Times New Roman" w:hAnsi="Times New Roman" w:cs="Times New Roman"/>
                <w:color w:val="auto"/>
                <w:sz w:val="24"/>
                <w:szCs w:val="24"/>
                <w:highlight w:val="none"/>
                <w:lang w:eastAsia="zh-CN"/>
              </w:rPr>
              <w:t>。</w:t>
            </w:r>
          </w:p>
        </w:tc>
      </w:tr>
      <w:tr w14:paraId="031A8776">
        <w:tblPrEx>
          <w:tblCellMar>
            <w:top w:w="0" w:type="dxa"/>
            <w:left w:w="0" w:type="dxa"/>
            <w:bottom w:w="0" w:type="dxa"/>
            <w:right w:w="0" w:type="dxa"/>
          </w:tblCellMar>
        </w:tblPrEx>
        <w:trPr>
          <w:trHeight w:val="431" w:hRule="atLeast"/>
          <w:jc w:val="center"/>
        </w:trPr>
        <w:tc>
          <w:tcPr>
            <w:tcW w:w="30" w:type="dxa"/>
            <w:tcBorders>
              <w:top w:val="nil"/>
              <w:left w:val="nil"/>
              <w:bottom w:val="nil"/>
              <w:right w:val="single" w:color="auto" w:sz="8" w:space="0"/>
            </w:tcBorders>
            <w:vAlign w:val="center"/>
          </w:tcPr>
          <w:p w14:paraId="070B3FE8">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CAE69AE">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交易费</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5FF5D949">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中标金额的0.5%收取（中标单位需在退中标保证金前向e交易平台缴纳平台服务费）；</w:t>
            </w:r>
          </w:p>
          <w:p w14:paraId="48E7BAF0">
            <w:pP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highlight w:val="none"/>
                <w:lang w:val="en-US" w:eastAsia="zh-CN"/>
              </w:rPr>
              <w:t>2.成交金额的1.5%*</w:t>
            </w:r>
            <w:r>
              <w:rPr>
                <w:rFonts w:hint="eastAsia" w:ascii="Times New Roman" w:hAnsi="Times New Roman" w:cs="Times New Roman"/>
                <w:color w:val="auto"/>
                <w:sz w:val="24"/>
                <w:highlight w:val="none"/>
                <w:lang w:val="en-US" w:eastAsia="zh-CN"/>
              </w:rPr>
              <w:t>80</w:t>
            </w:r>
            <w:r>
              <w:rPr>
                <w:rFonts w:hint="default" w:ascii="Times New Roman" w:hAnsi="Times New Roman" w:cs="Times New Roman"/>
                <w:color w:val="auto"/>
                <w:sz w:val="24"/>
                <w:highlight w:val="none"/>
                <w:lang w:val="en-US" w:eastAsia="zh-CN"/>
              </w:rPr>
              <w:t>%（由成交供应商在合同签订</w:t>
            </w:r>
            <w:r>
              <w:rPr>
                <w:rFonts w:hint="eastAsia" w:ascii="Times New Roman" w:hAnsi="Times New Roman" w:cs="Times New Roman"/>
                <w:color w:val="auto"/>
                <w:sz w:val="24"/>
                <w:highlight w:val="none"/>
                <w:lang w:val="en-US" w:eastAsia="zh-CN"/>
              </w:rPr>
              <w:t>前</w:t>
            </w:r>
            <w:r>
              <w:rPr>
                <w:rFonts w:hint="default" w:ascii="Times New Roman" w:hAnsi="Times New Roman" w:cs="Times New Roman"/>
                <w:color w:val="auto"/>
                <w:sz w:val="24"/>
                <w:highlight w:val="none"/>
                <w:lang w:val="en-US" w:eastAsia="zh-CN"/>
              </w:rPr>
              <w:t>向代理机构指定账户支付）；</w:t>
            </w:r>
          </w:p>
        </w:tc>
      </w:tr>
      <w:tr w14:paraId="1B7F8A20">
        <w:tblPrEx>
          <w:tblCellMar>
            <w:top w:w="0" w:type="dxa"/>
            <w:left w:w="0" w:type="dxa"/>
            <w:bottom w:w="0" w:type="dxa"/>
            <w:right w:w="0" w:type="dxa"/>
          </w:tblCellMar>
        </w:tblPrEx>
        <w:trPr>
          <w:trHeight w:val="1733" w:hRule="atLeast"/>
          <w:jc w:val="center"/>
        </w:trPr>
        <w:tc>
          <w:tcPr>
            <w:tcW w:w="30" w:type="dxa"/>
            <w:tcBorders>
              <w:top w:val="nil"/>
              <w:left w:val="nil"/>
              <w:bottom w:val="nil"/>
              <w:right w:val="single" w:color="auto" w:sz="8" w:space="0"/>
            </w:tcBorders>
            <w:vAlign w:val="center"/>
          </w:tcPr>
          <w:p w14:paraId="4B45C224">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61A2CCDD">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履约约定</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226A431">
            <w:pPr>
              <w:numPr>
                <w:ilvl w:val="0"/>
                <w:numId w:val="1"/>
              </w:numP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rPr>
              <w:t>《采购合同》签署时间及地点：成交公告发布后1个月内签订</w:t>
            </w:r>
            <w:r>
              <w:rPr>
                <w:rFonts w:hint="default" w:ascii="Times New Roman" w:hAnsi="Times New Roman" w:cs="Times New Roman"/>
                <w:color w:val="auto"/>
                <w:sz w:val="24"/>
                <w:highlight w:val="none"/>
                <w:lang w:val="en-US" w:eastAsia="zh-CN"/>
              </w:rPr>
              <w:t>、常州地铁集团有限公司；</w:t>
            </w:r>
          </w:p>
          <w:p w14:paraId="3D488E85">
            <w:pPr>
              <w:numPr>
                <w:ilvl w:val="0"/>
                <w:numId w:val="1"/>
              </w:numPr>
              <w:rPr>
                <w:rFonts w:hint="default" w:ascii="Times New Roman" w:hAnsi="Times New Roman" w:cs="Times New Roman"/>
                <w:color w:val="auto"/>
                <w:sz w:val="24"/>
                <w:highlight w:val="none"/>
              </w:rPr>
            </w:pPr>
            <w:r>
              <w:rPr>
                <w:rFonts w:ascii="宋体" w:hAnsi="宋体" w:eastAsia="宋体" w:cs="宋体"/>
                <w:color w:val="auto"/>
                <w:sz w:val="24"/>
                <w:szCs w:val="24"/>
                <w:highlight w:val="none"/>
              </w:rPr>
              <w:t>履约担保</w:t>
            </w:r>
            <w:r>
              <w:rPr>
                <w:rFonts w:hint="default" w:ascii="Times New Roman" w:hAnsi="Times New Roman" w:cs="Times New Roman"/>
                <w:color w:val="auto"/>
                <w:sz w:val="24"/>
                <w:highlight w:val="none"/>
              </w:rPr>
              <w:t>：中标金额的10%（合同签订</w:t>
            </w:r>
            <w:r>
              <w:rPr>
                <w:rFonts w:hint="eastAsia" w:ascii="Times New Roman" w:hAnsi="Times New Roman" w:cs="Times New Roman"/>
                <w:color w:val="auto"/>
                <w:sz w:val="24"/>
                <w:highlight w:val="none"/>
                <w:lang w:val="en-US" w:eastAsia="zh-CN"/>
              </w:rPr>
              <w:t>后一个月内</w:t>
            </w:r>
            <w:r>
              <w:rPr>
                <w:rFonts w:hint="default" w:ascii="Times New Roman" w:hAnsi="Times New Roman" w:cs="Times New Roman"/>
                <w:color w:val="auto"/>
                <w:sz w:val="24"/>
                <w:highlight w:val="none"/>
              </w:rPr>
              <w:t>以银行转账方式缴纳至采购人账户或提供银行保函）；</w:t>
            </w:r>
          </w:p>
          <w:p w14:paraId="4698F57C">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3.全部供货、施工并验收合格后，全额无息退还</w:t>
            </w:r>
            <w:r>
              <w:rPr>
                <w:rFonts w:ascii="宋体" w:hAnsi="宋体" w:eastAsia="宋体" w:cs="宋体"/>
                <w:color w:val="auto"/>
                <w:sz w:val="24"/>
                <w:szCs w:val="24"/>
                <w:highlight w:val="none"/>
              </w:rPr>
              <w:t>履约担保</w:t>
            </w:r>
            <w:r>
              <w:rPr>
                <w:rFonts w:hint="default" w:ascii="Times New Roman" w:hAnsi="Times New Roman" w:cs="Times New Roman"/>
                <w:color w:val="auto"/>
                <w:sz w:val="24"/>
                <w:highlight w:val="none"/>
              </w:rPr>
              <w:t>。</w:t>
            </w:r>
          </w:p>
        </w:tc>
      </w:tr>
      <w:tr w14:paraId="1418F24C">
        <w:tblPrEx>
          <w:tblCellMar>
            <w:top w:w="0" w:type="dxa"/>
            <w:left w:w="0" w:type="dxa"/>
            <w:bottom w:w="0" w:type="dxa"/>
            <w:right w:w="0" w:type="dxa"/>
          </w:tblCellMar>
        </w:tblPrEx>
        <w:trPr>
          <w:trHeight w:val="1436" w:hRule="atLeast"/>
          <w:jc w:val="center"/>
        </w:trPr>
        <w:tc>
          <w:tcPr>
            <w:tcW w:w="30" w:type="dxa"/>
            <w:tcBorders>
              <w:top w:val="nil"/>
              <w:left w:val="nil"/>
              <w:bottom w:val="nil"/>
              <w:right w:val="single" w:color="auto" w:sz="8" w:space="0"/>
            </w:tcBorders>
            <w:vAlign w:val="center"/>
          </w:tcPr>
          <w:p w14:paraId="5B48C21E">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246FAA22">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验收约定</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5EDE5403">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交货时间：见附件合同模板；</w:t>
            </w:r>
          </w:p>
          <w:p w14:paraId="2A5A2068">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交货地点：接甲方通知，交付至甲方指定地点（常州）；</w:t>
            </w:r>
          </w:p>
          <w:p w14:paraId="5DEAFAAA">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规格确认：按附件清单要求供货；</w:t>
            </w:r>
          </w:p>
          <w:p w14:paraId="60A58296">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验收方式：按合同要求验收。</w:t>
            </w:r>
          </w:p>
        </w:tc>
      </w:tr>
      <w:tr w14:paraId="128F49C6">
        <w:tblPrEx>
          <w:tblCellMar>
            <w:top w:w="0" w:type="dxa"/>
            <w:left w:w="0" w:type="dxa"/>
            <w:bottom w:w="0" w:type="dxa"/>
            <w:right w:w="0" w:type="dxa"/>
          </w:tblCellMar>
        </w:tblPrEx>
        <w:trPr>
          <w:trHeight w:val="1103" w:hRule="atLeast"/>
          <w:jc w:val="center"/>
        </w:trPr>
        <w:tc>
          <w:tcPr>
            <w:tcW w:w="30" w:type="dxa"/>
            <w:tcBorders>
              <w:top w:val="nil"/>
              <w:left w:val="nil"/>
              <w:bottom w:val="nil"/>
              <w:right w:val="single" w:color="auto" w:sz="8" w:space="0"/>
            </w:tcBorders>
            <w:vAlign w:val="center"/>
          </w:tcPr>
          <w:p w14:paraId="7893400E">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25F60235">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结算</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B850490">
            <w:pPr>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付款方式：见附件合同模板</w:t>
            </w:r>
            <w:r>
              <w:rPr>
                <w:rFonts w:hint="default" w:ascii="Times New Roman" w:hAnsi="Times New Roman" w:cs="Times New Roman"/>
                <w:color w:val="auto"/>
                <w:sz w:val="24"/>
                <w:highlight w:val="none"/>
                <w:lang w:eastAsia="zh-CN"/>
              </w:rPr>
              <w:t>；</w:t>
            </w:r>
          </w:p>
          <w:p w14:paraId="61BF95B6">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发票要求：增值税专用发票；</w:t>
            </w:r>
          </w:p>
          <w:p w14:paraId="50A8C403">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3.结算方式：见附件合同模板。</w:t>
            </w:r>
          </w:p>
        </w:tc>
      </w:tr>
      <w:tr w14:paraId="2698D251">
        <w:tblPrEx>
          <w:tblCellMar>
            <w:top w:w="0" w:type="dxa"/>
            <w:left w:w="0" w:type="dxa"/>
            <w:bottom w:w="0" w:type="dxa"/>
            <w:right w:w="0" w:type="dxa"/>
          </w:tblCellMar>
        </w:tblPrEx>
        <w:trPr>
          <w:trHeight w:val="596" w:hRule="atLeast"/>
          <w:jc w:val="center"/>
        </w:trPr>
        <w:tc>
          <w:tcPr>
            <w:tcW w:w="30" w:type="dxa"/>
            <w:tcBorders>
              <w:top w:val="nil"/>
              <w:left w:val="nil"/>
              <w:bottom w:val="nil"/>
              <w:right w:val="single" w:color="auto" w:sz="8" w:space="0"/>
            </w:tcBorders>
            <w:vAlign w:val="center"/>
          </w:tcPr>
          <w:p w14:paraId="397B0014">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6A988828">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违约责任</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4E9C0F48">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lang w:val="en-US" w:eastAsia="zh-CN"/>
              </w:rPr>
              <w:t>见附件合同模板</w:t>
            </w:r>
          </w:p>
        </w:tc>
      </w:tr>
      <w:tr w14:paraId="54E32AC0">
        <w:tblPrEx>
          <w:tblCellMar>
            <w:top w:w="0" w:type="dxa"/>
            <w:left w:w="0" w:type="dxa"/>
            <w:bottom w:w="0" w:type="dxa"/>
            <w:right w:w="0" w:type="dxa"/>
          </w:tblCellMar>
        </w:tblPrEx>
        <w:trPr>
          <w:trHeight w:val="3015" w:hRule="atLeast"/>
          <w:jc w:val="center"/>
        </w:trPr>
        <w:tc>
          <w:tcPr>
            <w:tcW w:w="30" w:type="dxa"/>
            <w:tcBorders>
              <w:top w:val="nil"/>
              <w:left w:val="nil"/>
              <w:bottom w:val="nil"/>
              <w:right w:val="single" w:color="auto" w:sz="8" w:space="0"/>
            </w:tcBorders>
            <w:vAlign w:val="center"/>
          </w:tcPr>
          <w:p w14:paraId="0FEAB486">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2C7435F0">
            <w:pPr>
              <w:jc w:val="center"/>
              <w:rPr>
                <w:rFonts w:hint="default" w:ascii="Times New Roman" w:hAnsi="Times New Roman" w:cs="Times New Roman" w:eastAsiaTheme="minorEastAsia"/>
                <w:b w:val="0"/>
                <w:bCs/>
                <w:color w:val="auto"/>
                <w:sz w:val="24"/>
                <w:szCs w:val="24"/>
                <w:highlight w:val="none"/>
                <w:lang w:val="en-US" w:eastAsia="zh-CN"/>
              </w:rPr>
            </w:pPr>
            <w:r>
              <w:rPr>
                <w:rFonts w:hint="default" w:ascii="Times New Roman" w:hAnsi="Times New Roman" w:cs="Times New Roman" w:eastAsiaTheme="minorEastAsia"/>
                <w:b w:val="0"/>
                <w:bCs/>
                <w:color w:val="auto"/>
                <w:sz w:val="24"/>
                <w:szCs w:val="24"/>
                <w:highlight w:val="none"/>
                <w:lang w:val="en-US" w:eastAsia="zh-CN"/>
              </w:rPr>
              <w:t>特别提示</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F71FF95">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付款提示：投标保证金、履约保证金、委托平台结算的成交款等均应通过在E交易平台注册的银行账户并根据系统提示付款，以E交易系统到帐为准（E交易系统到帐时间可能晚于银行到帐时间，为确保及时到账请提前准备并优先选择工商银行网银或网点操作）；</w:t>
            </w:r>
          </w:p>
          <w:p w14:paraId="62B68345">
            <w:pP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2.在竞价前请务必遵照e交易平台</w:t>
            </w: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HYPERLINK "http://www.ejy365.com/" \t "https://www.ejy365.com/_blank"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rPr>
              <w:t>（www.ejy365.com）</w:t>
            </w:r>
            <w:r>
              <w:rPr>
                <w:rFonts w:hint="default" w:ascii="Times New Roman" w:hAnsi="Times New Roman" w:cs="Times New Roman"/>
                <w:color w:val="auto"/>
                <w:sz w:val="24"/>
                <w:highlight w:val="none"/>
                <w:lang w:val="en-US" w:eastAsia="zh-CN"/>
              </w:rPr>
              <w:fldChar w:fldCharType="end"/>
            </w:r>
            <w:r>
              <w:rPr>
                <w:rFonts w:hint="default" w:ascii="Times New Roman" w:hAnsi="Times New Roman" w:cs="Times New Roman"/>
                <w:color w:val="auto"/>
                <w:sz w:val="24"/>
                <w:highlight w:val="none"/>
                <w:lang w:val="en-US" w:eastAsia="zh-CN"/>
              </w:rPr>
              <w:t>的</w:t>
            </w: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HYPERLINK "http://www.ejy365.com/newsinfo?infoid=88db1dfc-6a03-4b57-b92c-2ad535b8fc68" \t "https://www.ejy365.com/_blank"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rPr>
              <w:t>《e交易平台会员注册须知》</w:t>
            </w:r>
            <w:r>
              <w:rPr>
                <w:rFonts w:hint="default" w:ascii="Times New Roman" w:hAnsi="Times New Roman" w:cs="Times New Roman"/>
                <w:color w:val="auto"/>
                <w:sz w:val="24"/>
                <w:highlight w:val="none"/>
                <w:lang w:val="en-US" w:eastAsia="zh-CN"/>
              </w:rPr>
              <w:fldChar w:fldCharType="end"/>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HYPERLINK "http://www.ejy365.com/newsinfo?infoid=fd28532d-0ae8-43f8-a482-2497e6f7f9f6" \t "https://www.ejy365.com/_blank"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rPr>
              <w:t>《 e交易平台竞价交易规则》</w:t>
            </w:r>
            <w:r>
              <w:rPr>
                <w:rFonts w:hint="default" w:ascii="Times New Roman" w:hAnsi="Times New Roman" w:cs="Times New Roman"/>
                <w:color w:val="auto"/>
                <w:sz w:val="24"/>
                <w:highlight w:val="none"/>
                <w:lang w:val="en-US" w:eastAsia="zh-CN"/>
              </w:rPr>
              <w:fldChar w:fldCharType="end"/>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fldChar w:fldCharType="begin"/>
            </w:r>
            <w:r>
              <w:rPr>
                <w:rFonts w:hint="default" w:ascii="Times New Roman" w:hAnsi="Times New Roman" w:cs="Times New Roman"/>
                <w:color w:val="auto"/>
                <w:sz w:val="24"/>
                <w:highlight w:val="none"/>
                <w:lang w:val="en-US" w:eastAsia="zh-CN"/>
              </w:rPr>
              <w:instrText xml:space="preserve"> HYPERLINK "http://www.ejy365.com/newsinfo?infoid=45b70145-e1a6-444f-a693-8388e2ba5ae2" \t "https://www.ejy365.com/_blank" </w:instrText>
            </w:r>
            <w:r>
              <w:rPr>
                <w:rFonts w:hint="default" w:ascii="Times New Roman" w:hAnsi="Times New Roman" w:cs="Times New Roman"/>
                <w:color w:val="auto"/>
                <w:sz w:val="24"/>
                <w:highlight w:val="none"/>
                <w:lang w:val="en-US" w:eastAsia="zh-CN"/>
              </w:rPr>
              <w:fldChar w:fldCharType="separate"/>
            </w:r>
            <w:r>
              <w:rPr>
                <w:rFonts w:hint="default" w:ascii="Times New Roman" w:hAnsi="Times New Roman" w:cs="Times New Roman"/>
                <w:color w:val="auto"/>
                <w:sz w:val="24"/>
                <w:highlight w:val="none"/>
              </w:rPr>
              <w:t>《电子竞价风险告知及接受确认书》</w:t>
            </w:r>
            <w:r>
              <w:rPr>
                <w:rFonts w:hint="default" w:ascii="Times New Roman" w:hAnsi="Times New Roman" w:cs="Times New Roman"/>
                <w:color w:val="auto"/>
                <w:sz w:val="24"/>
                <w:highlight w:val="none"/>
                <w:lang w:val="en-US" w:eastAsia="zh-CN"/>
              </w:rPr>
              <w:fldChar w:fldCharType="end"/>
            </w:r>
            <w:r>
              <w:rPr>
                <w:rFonts w:hint="default" w:ascii="Times New Roman" w:hAnsi="Times New Roman" w:cs="Times New Roman"/>
                <w:color w:val="auto"/>
                <w:sz w:val="24"/>
                <w:highlight w:val="none"/>
                <w:lang w:val="en-US" w:eastAsia="zh-CN"/>
              </w:rPr>
              <w:t>等要求；</w:t>
            </w:r>
          </w:p>
          <w:p w14:paraId="36693332">
            <w:pPr>
              <w:rPr>
                <w:rFonts w:hint="default" w:ascii="Times New Roman" w:hAnsi="Times New Roman" w:cs="Times New Roman" w:eastAsiaTheme="minorEastAsia"/>
                <w:b w:val="0"/>
                <w:bCs/>
                <w:color w:val="auto"/>
                <w:sz w:val="24"/>
                <w:szCs w:val="24"/>
                <w:highlight w:val="none"/>
                <w:lang w:val="en-US" w:eastAsia="zh-CN"/>
              </w:rPr>
            </w:pPr>
            <w:r>
              <w:rPr>
                <w:rFonts w:hint="default" w:ascii="Times New Roman" w:hAnsi="Times New Roman" w:cs="Times New Roman"/>
                <w:color w:val="auto"/>
                <w:sz w:val="24"/>
                <w:highlight w:val="none"/>
                <w:lang w:val="en-US" w:eastAsia="zh-CN"/>
              </w:rPr>
              <w:t>3.对本项目提出的疑问，如有必要采购单位会在报价时间开始前以澄清公告的形式予以回复，请保持关注。</w:t>
            </w:r>
          </w:p>
        </w:tc>
      </w:tr>
      <w:tr w14:paraId="17454FEA">
        <w:tblPrEx>
          <w:tblCellMar>
            <w:top w:w="0" w:type="dxa"/>
            <w:left w:w="0" w:type="dxa"/>
            <w:bottom w:w="0" w:type="dxa"/>
            <w:right w:w="0" w:type="dxa"/>
          </w:tblCellMar>
        </w:tblPrEx>
        <w:trPr>
          <w:trHeight w:val="1113" w:hRule="atLeast"/>
          <w:jc w:val="center"/>
        </w:trPr>
        <w:tc>
          <w:tcPr>
            <w:tcW w:w="30" w:type="dxa"/>
            <w:tcBorders>
              <w:top w:val="nil"/>
              <w:left w:val="nil"/>
              <w:bottom w:val="nil"/>
              <w:right w:val="single" w:color="auto" w:sz="8" w:space="0"/>
            </w:tcBorders>
            <w:vAlign w:val="center"/>
          </w:tcPr>
          <w:p w14:paraId="7F4648DF">
            <w:pPr>
              <w:rPr>
                <w:rFonts w:hint="default" w:ascii="Times New Roman" w:hAnsi="Times New Roman" w:cs="Times New Roman"/>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2B8B1CF9">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附件</w:t>
            </w:r>
          </w:p>
        </w:tc>
        <w:tc>
          <w:tcPr>
            <w:tcW w:w="786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14:paraId="7A0A137F">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附件1—采购内容及清单</w:t>
            </w:r>
          </w:p>
          <w:p w14:paraId="2C7E8A60">
            <w:pP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附件</w:t>
            </w:r>
            <w:r>
              <w:rPr>
                <w:rFonts w:hint="default"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—合同</w:t>
            </w:r>
            <w:r>
              <w:rPr>
                <w:rFonts w:hint="default" w:ascii="Times New Roman" w:hAnsi="Times New Roman" w:cs="Times New Roman"/>
                <w:color w:val="auto"/>
                <w:sz w:val="24"/>
                <w:szCs w:val="24"/>
                <w:highlight w:val="none"/>
                <w:lang w:val="en-US" w:eastAsia="zh-CN"/>
              </w:rPr>
              <w:t>模板</w:t>
            </w:r>
          </w:p>
          <w:p w14:paraId="0632691A">
            <w:pP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附件3—报价单</w:t>
            </w:r>
          </w:p>
          <w:p w14:paraId="3C63730F">
            <w:pPr>
              <w:rPr>
                <w:rFonts w:hint="default"/>
                <w:color w:val="auto"/>
                <w:highlight w:val="none"/>
                <w:lang w:val="en-US" w:eastAsia="zh-CN"/>
              </w:rPr>
            </w:pPr>
            <w:r>
              <w:rPr>
                <w:rFonts w:hint="default" w:ascii="Times New Roman" w:hAnsi="Times New Roman" w:cs="Times New Roman"/>
                <w:color w:val="auto"/>
                <w:sz w:val="24"/>
                <w:szCs w:val="24"/>
                <w:highlight w:val="none"/>
                <w:lang w:val="en-US" w:eastAsia="zh-CN"/>
              </w:rPr>
              <w:t>附件</w:t>
            </w:r>
            <w:r>
              <w:rPr>
                <w:rFonts w:hint="eastAsia" w:ascii="Times New Roman" w:hAnsi="Times New Roman"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常</w:t>
            </w:r>
            <w:r>
              <w:rPr>
                <w:rFonts w:hint="default" w:ascii="Times New Roman" w:hAnsi="Times New Roman" w:cs="Times New Roman"/>
                <w:color w:val="auto"/>
                <w:sz w:val="24"/>
                <w:szCs w:val="24"/>
                <w:highlight w:val="none"/>
                <w:lang w:val="en-US" w:eastAsia="zh-CN"/>
              </w:rPr>
              <w:t>州地铁1、2号线2026年度计量器具采购项目</w:t>
            </w:r>
            <w:r>
              <w:rPr>
                <w:rFonts w:hint="eastAsia" w:ascii="Times New Roman" w:hAnsi="Times New Roman" w:cs="Times New Roman"/>
                <w:color w:val="auto"/>
                <w:sz w:val="24"/>
                <w:szCs w:val="24"/>
                <w:highlight w:val="none"/>
                <w:lang w:val="en-US" w:eastAsia="zh-CN"/>
              </w:rPr>
              <w:t>附图说明</w:t>
            </w:r>
          </w:p>
        </w:tc>
      </w:tr>
      <w:bookmarkEnd w:id="8"/>
      <w:bookmarkEnd w:id="9"/>
      <w:bookmarkEnd w:id="10"/>
      <w:bookmarkEnd w:id="11"/>
      <w:bookmarkEnd w:id="12"/>
      <w:bookmarkEnd w:id="13"/>
      <w:bookmarkEnd w:id="14"/>
      <w:bookmarkEnd w:id="15"/>
      <w:bookmarkEnd w:id="21"/>
      <w:bookmarkEnd w:id="22"/>
      <w:bookmarkEnd w:id="23"/>
      <w:bookmarkEnd w:id="24"/>
      <w:bookmarkEnd w:id="25"/>
      <w:bookmarkEnd w:id="26"/>
      <w:bookmarkEnd w:id="27"/>
      <w:bookmarkEnd w:id="28"/>
    </w:tbl>
    <w:p w14:paraId="72E9748B">
      <w:pPr>
        <w:rPr>
          <w:rFonts w:cs="Times New Roman"/>
          <w:color w:val="auto"/>
          <w:highlight w:val="none"/>
        </w:rPr>
      </w:pPr>
    </w:p>
    <w:bookmarkEnd w:id="16"/>
    <w:bookmarkEnd w:id="17"/>
    <w:bookmarkEnd w:id="18"/>
    <w:bookmarkEnd w:id="19"/>
    <w:p w14:paraId="7A45E83E">
      <w:pPr>
        <w:rPr>
          <w:rFonts w:cs="Times New Roman"/>
          <w:color w:val="auto"/>
          <w:highlight w:val="none"/>
        </w:rPr>
      </w:pPr>
    </w:p>
    <w:bookmarkEnd w:id="20"/>
    <w:p w14:paraId="2B6A1E99">
      <w:pPr>
        <w:rPr>
          <w:rFonts w:cs="Times New Roman"/>
          <w:color w:val="auto"/>
          <w:highlight w:val="none"/>
        </w:rPr>
      </w:pPr>
    </w:p>
    <w:p w14:paraId="74F702E4">
      <w:pPr>
        <w:ind w:right="1260"/>
        <w:jc w:val="right"/>
        <w:rPr>
          <w:rFonts w:cs="Times New Roman"/>
          <w:color w:val="auto"/>
          <w:highlight w:val="none"/>
        </w:rPr>
      </w:pPr>
    </w:p>
    <w:sectPr>
      <w:pgSz w:w="11906" w:h="16838"/>
      <w:pgMar w:top="1440" w:right="1274"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6644F"/>
    <w:multiLevelType w:val="singleLevel"/>
    <w:tmpl w:val="4E56644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hMmUwOTE4MmY4ZjQyYzNmNWYyMDU3M2U3OWU4YzcifQ=="/>
  </w:docVars>
  <w:rsids>
    <w:rsidRoot w:val="00A82DC7"/>
    <w:rsid w:val="000016CD"/>
    <w:rsid w:val="0001053F"/>
    <w:rsid w:val="00011185"/>
    <w:rsid w:val="00014469"/>
    <w:rsid w:val="00014952"/>
    <w:rsid w:val="000173B6"/>
    <w:rsid w:val="00022F2D"/>
    <w:rsid w:val="00043247"/>
    <w:rsid w:val="000515CD"/>
    <w:rsid w:val="00060A32"/>
    <w:rsid w:val="000652A5"/>
    <w:rsid w:val="000940C4"/>
    <w:rsid w:val="000B181E"/>
    <w:rsid w:val="000B6BA3"/>
    <w:rsid w:val="000C7E0F"/>
    <w:rsid w:val="000D0DF2"/>
    <w:rsid w:val="000D7F5B"/>
    <w:rsid w:val="000E58AF"/>
    <w:rsid w:val="000F6F0A"/>
    <w:rsid w:val="0010575D"/>
    <w:rsid w:val="00105BA5"/>
    <w:rsid w:val="00110838"/>
    <w:rsid w:val="001114D9"/>
    <w:rsid w:val="001150CD"/>
    <w:rsid w:val="001334A0"/>
    <w:rsid w:val="00136465"/>
    <w:rsid w:val="00146BF4"/>
    <w:rsid w:val="00152E5D"/>
    <w:rsid w:val="00155B37"/>
    <w:rsid w:val="001578F3"/>
    <w:rsid w:val="00162E11"/>
    <w:rsid w:val="00166E09"/>
    <w:rsid w:val="00170349"/>
    <w:rsid w:val="00170E5B"/>
    <w:rsid w:val="001830C3"/>
    <w:rsid w:val="00183C3D"/>
    <w:rsid w:val="00186C8A"/>
    <w:rsid w:val="00195EEB"/>
    <w:rsid w:val="001962BD"/>
    <w:rsid w:val="001966A6"/>
    <w:rsid w:val="001A35F7"/>
    <w:rsid w:val="001A50F4"/>
    <w:rsid w:val="001A7902"/>
    <w:rsid w:val="001B00D8"/>
    <w:rsid w:val="001B21A8"/>
    <w:rsid w:val="001B680A"/>
    <w:rsid w:val="001C2CFD"/>
    <w:rsid w:val="001D5E98"/>
    <w:rsid w:val="001E0659"/>
    <w:rsid w:val="001E0CBB"/>
    <w:rsid w:val="001E1731"/>
    <w:rsid w:val="001E5424"/>
    <w:rsid w:val="00201BE4"/>
    <w:rsid w:val="00215C00"/>
    <w:rsid w:val="00226C0E"/>
    <w:rsid w:val="00240533"/>
    <w:rsid w:val="002452B2"/>
    <w:rsid w:val="002578D1"/>
    <w:rsid w:val="00257D63"/>
    <w:rsid w:val="00263EC3"/>
    <w:rsid w:val="00270D19"/>
    <w:rsid w:val="00272547"/>
    <w:rsid w:val="00272A20"/>
    <w:rsid w:val="002742FB"/>
    <w:rsid w:val="00277B3F"/>
    <w:rsid w:val="00287889"/>
    <w:rsid w:val="002920BB"/>
    <w:rsid w:val="00292C7C"/>
    <w:rsid w:val="00297EDD"/>
    <w:rsid w:val="002A494A"/>
    <w:rsid w:val="002A5D4C"/>
    <w:rsid w:val="002A732A"/>
    <w:rsid w:val="002C3E03"/>
    <w:rsid w:val="002D0F3F"/>
    <w:rsid w:val="002D4C4F"/>
    <w:rsid w:val="002F4FA1"/>
    <w:rsid w:val="002F6086"/>
    <w:rsid w:val="00302FBF"/>
    <w:rsid w:val="003033F4"/>
    <w:rsid w:val="00326E10"/>
    <w:rsid w:val="00331594"/>
    <w:rsid w:val="003335DA"/>
    <w:rsid w:val="00341F90"/>
    <w:rsid w:val="00342906"/>
    <w:rsid w:val="00343F38"/>
    <w:rsid w:val="003477CB"/>
    <w:rsid w:val="003523BC"/>
    <w:rsid w:val="00360255"/>
    <w:rsid w:val="0036708B"/>
    <w:rsid w:val="003678B4"/>
    <w:rsid w:val="00372BA9"/>
    <w:rsid w:val="00382142"/>
    <w:rsid w:val="00392E05"/>
    <w:rsid w:val="0039392A"/>
    <w:rsid w:val="00394040"/>
    <w:rsid w:val="00397593"/>
    <w:rsid w:val="003A11D2"/>
    <w:rsid w:val="003B5E93"/>
    <w:rsid w:val="003E5A70"/>
    <w:rsid w:val="003E6532"/>
    <w:rsid w:val="003E7EC5"/>
    <w:rsid w:val="003F373A"/>
    <w:rsid w:val="00401065"/>
    <w:rsid w:val="00411D88"/>
    <w:rsid w:val="004208CA"/>
    <w:rsid w:val="0044031A"/>
    <w:rsid w:val="00464E15"/>
    <w:rsid w:val="004704F5"/>
    <w:rsid w:val="00470A23"/>
    <w:rsid w:val="00480597"/>
    <w:rsid w:val="00485A40"/>
    <w:rsid w:val="00494856"/>
    <w:rsid w:val="004B0311"/>
    <w:rsid w:val="004B3A3D"/>
    <w:rsid w:val="004B70C8"/>
    <w:rsid w:val="004B7891"/>
    <w:rsid w:val="004B7C5E"/>
    <w:rsid w:val="004C188E"/>
    <w:rsid w:val="004C59A1"/>
    <w:rsid w:val="004C6F1A"/>
    <w:rsid w:val="004D086A"/>
    <w:rsid w:val="00503FBF"/>
    <w:rsid w:val="00504BA2"/>
    <w:rsid w:val="00514148"/>
    <w:rsid w:val="00516440"/>
    <w:rsid w:val="00520247"/>
    <w:rsid w:val="00524CDF"/>
    <w:rsid w:val="00525350"/>
    <w:rsid w:val="005340B0"/>
    <w:rsid w:val="00561329"/>
    <w:rsid w:val="00581AB2"/>
    <w:rsid w:val="005859B5"/>
    <w:rsid w:val="005A1004"/>
    <w:rsid w:val="005A59F8"/>
    <w:rsid w:val="005B597A"/>
    <w:rsid w:val="005B5ABC"/>
    <w:rsid w:val="005B648C"/>
    <w:rsid w:val="005B7F3D"/>
    <w:rsid w:val="005C08A2"/>
    <w:rsid w:val="005E0331"/>
    <w:rsid w:val="005F3C18"/>
    <w:rsid w:val="005F6FCC"/>
    <w:rsid w:val="0060289C"/>
    <w:rsid w:val="006117AE"/>
    <w:rsid w:val="0061669F"/>
    <w:rsid w:val="00623862"/>
    <w:rsid w:val="00633E2A"/>
    <w:rsid w:val="00634BF6"/>
    <w:rsid w:val="00634CDD"/>
    <w:rsid w:val="00637FE6"/>
    <w:rsid w:val="00656045"/>
    <w:rsid w:val="00657BC2"/>
    <w:rsid w:val="00672053"/>
    <w:rsid w:val="00672EE0"/>
    <w:rsid w:val="0068429E"/>
    <w:rsid w:val="00686598"/>
    <w:rsid w:val="00686C92"/>
    <w:rsid w:val="006907AB"/>
    <w:rsid w:val="00692BCF"/>
    <w:rsid w:val="00695655"/>
    <w:rsid w:val="006A180E"/>
    <w:rsid w:val="006A4B2F"/>
    <w:rsid w:val="006C1D6F"/>
    <w:rsid w:val="006C6310"/>
    <w:rsid w:val="006C6FA3"/>
    <w:rsid w:val="006C718E"/>
    <w:rsid w:val="006D2470"/>
    <w:rsid w:val="006D4079"/>
    <w:rsid w:val="006E1260"/>
    <w:rsid w:val="006E3888"/>
    <w:rsid w:val="006E5EB7"/>
    <w:rsid w:val="006F14EB"/>
    <w:rsid w:val="006F32C3"/>
    <w:rsid w:val="007015CC"/>
    <w:rsid w:val="00703366"/>
    <w:rsid w:val="00703735"/>
    <w:rsid w:val="00704847"/>
    <w:rsid w:val="00707F24"/>
    <w:rsid w:val="00710452"/>
    <w:rsid w:val="007201C9"/>
    <w:rsid w:val="00726387"/>
    <w:rsid w:val="00730379"/>
    <w:rsid w:val="007316C2"/>
    <w:rsid w:val="00744B56"/>
    <w:rsid w:val="0075077C"/>
    <w:rsid w:val="00751857"/>
    <w:rsid w:val="007539DD"/>
    <w:rsid w:val="00754303"/>
    <w:rsid w:val="00763543"/>
    <w:rsid w:val="007766B2"/>
    <w:rsid w:val="0079572F"/>
    <w:rsid w:val="007A0D8D"/>
    <w:rsid w:val="007B1EE0"/>
    <w:rsid w:val="007C213E"/>
    <w:rsid w:val="007C26E6"/>
    <w:rsid w:val="007C2E89"/>
    <w:rsid w:val="007C55A8"/>
    <w:rsid w:val="007D4E7E"/>
    <w:rsid w:val="007D7F71"/>
    <w:rsid w:val="007E3C17"/>
    <w:rsid w:val="007E756C"/>
    <w:rsid w:val="007E7619"/>
    <w:rsid w:val="008056AF"/>
    <w:rsid w:val="00811324"/>
    <w:rsid w:val="0081448C"/>
    <w:rsid w:val="00823886"/>
    <w:rsid w:val="0082469D"/>
    <w:rsid w:val="008258C2"/>
    <w:rsid w:val="008258E9"/>
    <w:rsid w:val="008307A6"/>
    <w:rsid w:val="008369AA"/>
    <w:rsid w:val="00836B4A"/>
    <w:rsid w:val="00837110"/>
    <w:rsid w:val="008439E9"/>
    <w:rsid w:val="008443EF"/>
    <w:rsid w:val="00873661"/>
    <w:rsid w:val="00873719"/>
    <w:rsid w:val="0087474D"/>
    <w:rsid w:val="00884F06"/>
    <w:rsid w:val="00885736"/>
    <w:rsid w:val="00885FD1"/>
    <w:rsid w:val="008C764D"/>
    <w:rsid w:val="008C796A"/>
    <w:rsid w:val="008E107A"/>
    <w:rsid w:val="008E40DB"/>
    <w:rsid w:val="008F111F"/>
    <w:rsid w:val="008F4519"/>
    <w:rsid w:val="00904021"/>
    <w:rsid w:val="00907685"/>
    <w:rsid w:val="00910B28"/>
    <w:rsid w:val="0091128E"/>
    <w:rsid w:val="0091150F"/>
    <w:rsid w:val="00913DD3"/>
    <w:rsid w:val="009246C3"/>
    <w:rsid w:val="00932A63"/>
    <w:rsid w:val="009379E1"/>
    <w:rsid w:val="00947F5A"/>
    <w:rsid w:val="0096228B"/>
    <w:rsid w:val="00965B7E"/>
    <w:rsid w:val="009808F9"/>
    <w:rsid w:val="009854B9"/>
    <w:rsid w:val="00985584"/>
    <w:rsid w:val="00985F30"/>
    <w:rsid w:val="009A5103"/>
    <w:rsid w:val="009B1A27"/>
    <w:rsid w:val="009C0FFD"/>
    <w:rsid w:val="009C48A6"/>
    <w:rsid w:val="009C6276"/>
    <w:rsid w:val="009D0ABB"/>
    <w:rsid w:val="009D109A"/>
    <w:rsid w:val="009D5287"/>
    <w:rsid w:val="009D61DE"/>
    <w:rsid w:val="009D69AD"/>
    <w:rsid w:val="009E12E1"/>
    <w:rsid w:val="009E4A20"/>
    <w:rsid w:val="009F1B88"/>
    <w:rsid w:val="00A0021B"/>
    <w:rsid w:val="00A0073D"/>
    <w:rsid w:val="00A03B8B"/>
    <w:rsid w:val="00A03FE5"/>
    <w:rsid w:val="00A04848"/>
    <w:rsid w:val="00A2333A"/>
    <w:rsid w:val="00A30DB1"/>
    <w:rsid w:val="00A3377B"/>
    <w:rsid w:val="00A33D64"/>
    <w:rsid w:val="00A340EE"/>
    <w:rsid w:val="00A35747"/>
    <w:rsid w:val="00A42510"/>
    <w:rsid w:val="00A52B5D"/>
    <w:rsid w:val="00A60134"/>
    <w:rsid w:val="00A63806"/>
    <w:rsid w:val="00A8062A"/>
    <w:rsid w:val="00A81B0F"/>
    <w:rsid w:val="00A82DC7"/>
    <w:rsid w:val="00A87E91"/>
    <w:rsid w:val="00A92901"/>
    <w:rsid w:val="00AA67FF"/>
    <w:rsid w:val="00AA7402"/>
    <w:rsid w:val="00AB51D1"/>
    <w:rsid w:val="00AC20A5"/>
    <w:rsid w:val="00AD52E2"/>
    <w:rsid w:val="00AD5FA2"/>
    <w:rsid w:val="00AE2128"/>
    <w:rsid w:val="00AF3BC8"/>
    <w:rsid w:val="00B256A4"/>
    <w:rsid w:val="00B2748A"/>
    <w:rsid w:val="00B27564"/>
    <w:rsid w:val="00B36713"/>
    <w:rsid w:val="00B44B51"/>
    <w:rsid w:val="00B451F6"/>
    <w:rsid w:val="00B57843"/>
    <w:rsid w:val="00B643DD"/>
    <w:rsid w:val="00B71154"/>
    <w:rsid w:val="00B726D2"/>
    <w:rsid w:val="00B73C0E"/>
    <w:rsid w:val="00B83F71"/>
    <w:rsid w:val="00B91E41"/>
    <w:rsid w:val="00B932ED"/>
    <w:rsid w:val="00BA1337"/>
    <w:rsid w:val="00BA5487"/>
    <w:rsid w:val="00BB1873"/>
    <w:rsid w:val="00BC1471"/>
    <w:rsid w:val="00BE4ADF"/>
    <w:rsid w:val="00BE6B8B"/>
    <w:rsid w:val="00BF7623"/>
    <w:rsid w:val="00C04942"/>
    <w:rsid w:val="00C2383C"/>
    <w:rsid w:val="00C24FD7"/>
    <w:rsid w:val="00C424F7"/>
    <w:rsid w:val="00C42BC6"/>
    <w:rsid w:val="00C464F2"/>
    <w:rsid w:val="00C501E9"/>
    <w:rsid w:val="00C65111"/>
    <w:rsid w:val="00C76AB4"/>
    <w:rsid w:val="00C76D4F"/>
    <w:rsid w:val="00C81669"/>
    <w:rsid w:val="00C8197E"/>
    <w:rsid w:val="00C81F3B"/>
    <w:rsid w:val="00C8682B"/>
    <w:rsid w:val="00C91BB5"/>
    <w:rsid w:val="00CA15CA"/>
    <w:rsid w:val="00CA55BC"/>
    <w:rsid w:val="00CB1D2F"/>
    <w:rsid w:val="00CB281B"/>
    <w:rsid w:val="00CC1CCF"/>
    <w:rsid w:val="00CE7350"/>
    <w:rsid w:val="00CE76EA"/>
    <w:rsid w:val="00CF1626"/>
    <w:rsid w:val="00CF29C4"/>
    <w:rsid w:val="00CF3C48"/>
    <w:rsid w:val="00CF4026"/>
    <w:rsid w:val="00D0356B"/>
    <w:rsid w:val="00D12CD2"/>
    <w:rsid w:val="00D13493"/>
    <w:rsid w:val="00D146BE"/>
    <w:rsid w:val="00D21686"/>
    <w:rsid w:val="00D23E7C"/>
    <w:rsid w:val="00D35729"/>
    <w:rsid w:val="00D41952"/>
    <w:rsid w:val="00D42B74"/>
    <w:rsid w:val="00D45D57"/>
    <w:rsid w:val="00D520FA"/>
    <w:rsid w:val="00D5365B"/>
    <w:rsid w:val="00D639FE"/>
    <w:rsid w:val="00D67653"/>
    <w:rsid w:val="00D7676C"/>
    <w:rsid w:val="00D872DB"/>
    <w:rsid w:val="00D97129"/>
    <w:rsid w:val="00DA2E1F"/>
    <w:rsid w:val="00DB255F"/>
    <w:rsid w:val="00DB2B40"/>
    <w:rsid w:val="00DD302D"/>
    <w:rsid w:val="00DE370A"/>
    <w:rsid w:val="00DE47FB"/>
    <w:rsid w:val="00DF3ECB"/>
    <w:rsid w:val="00E02832"/>
    <w:rsid w:val="00E05AE8"/>
    <w:rsid w:val="00E0664F"/>
    <w:rsid w:val="00E1772E"/>
    <w:rsid w:val="00E375CA"/>
    <w:rsid w:val="00E44804"/>
    <w:rsid w:val="00E55195"/>
    <w:rsid w:val="00E6169E"/>
    <w:rsid w:val="00E708FC"/>
    <w:rsid w:val="00E73C7A"/>
    <w:rsid w:val="00E77F08"/>
    <w:rsid w:val="00E81475"/>
    <w:rsid w:val="00E81957"/>
    <w:rsid w:val="00E85E05"/>
    <w:rsid w:val="00E93AE6"/>
    <w:rsid w:val="00EA545D"/>
    <w:rsid w:val="00EB2098"/>
    <w:rsid w:val="00EB7375"/>
    <w:rsid w:val="00EC3F98"/>
    <w:rsid w:val="00EC5201"/>
    <w:rsid w:val="00EC6770"/>
    <w:rsid w:val="00ED472A"/>
    <w:rsid w:val="00ED6469"/>
    <w:rsid w:val="00EE3828"/>
    <w:rsid w:val="00EE3B7E"/>
    <w:rsid w:val="00EE6DB2"/>
    <w:rsid w:val="00EF03AB"/>
    <w:rsid w:val="00EF081E"/>
    <w:rsid w:val="00F10050"/>
    <w:rsid w:val="00F155EF"/>
    <w:rsid w:val="00F20EAF"/>
    <w:rsid w:val="00F22D41"/>
    <w:rsid w:val="00F23162"/>
    <w:rsid w:val="00F243B5"/>
    <w:rsid w:val="00F2654C"/>
    <w:rsid w:val="00F33B92"/>
    <w:rsid w:val="00F341D2"/>
    <w:rsid w:val="00F37B6E"/>
    <w:rsid w:val="00F44C44"/>
    <w:rsid w:val="00F47349"/>
    <w:rsid w:val="00F56128"/>
    <w:rsid w:val="00F57619"/>
    <w:rsid w:val="00F75503"/>
    <w:rsid w:val="00F97C02"/>
    <w:rsid w:val="00FA1EB7"/>
    <w:rsid w:val="00FA2695"/>
    <w:rsid w:val="00FA4B68"/>
    <w:rsid w:val="00FA57FF"/>
    <w:rsid w:val="00FB234A"/>
    <w:rsid w:val="00FB2660"/>
    <w:rsid w:val="00FB4C90"/>
    <w:rsid w:val="00FE52E0"/>
    <w:rsid w:val="017871E0"/>
    <w:rsid w:val="01FF3E1C"/>
    <w:rsid w:val="024410F2"/>
    <w:rsid w:val="04A239D5"/>
    <w:rsid w:val="04CF28C1"/>
    <w:rsid w:val="053D08DD"/>
    <w:rsid w:val="05A834C4"/>
    <w:rsid w:val="05E5796F"/>
    <w:rsid w:val="084E0CEA"/>
    <w:rsid w:val="09A96892"/>
    <w:rsid w:val="09AF7043"/>
    <w:rsid w:val="09F7148F"/>
    <w:rsid w:val="0A266739"/>
    <w:rsid w:val="0ADD11F0"/>
    <w:rsid w:val="0AED25FC"/>
    <w:rsid w:val="0C3A2563"/>
    <w:rsid w:val="0D3C1905"/>
    <w:rsid w:val="0D68593C"/>
    <w:rsid w:val="0D6C047A"/>
    <w:rsid w:val="0DA24C5F"/>
    <w:rsid w:val="0DDE254D"/>
    <w:rsid w:val="0DE911E3"/>
    <w:rsid w:val="0F5A52F1"/>
    <w:rsid w:val="0FA6762B"/>
    <w:rsid w:val="0FC7702E"/>
    <w:rsid w:val="0FC816B8"/>
    <w:rsid w:val="10482F88"/>
    <w:rsid w:val="104F1EFD"/>
    <w:rsid w:val="11F722CC"/>
    <w:rsid w:val="12803624"/>
    <w:rsid w:val="149A381D"/>
    <w:rsid w:val="151323E9"/>
    <w:rsid w:val="16100B0B"/>
    <w:rsid w:val="168237F5"/>
    <w:rsid w:val="16A266B4"/>
    <w:rsid w:val="16F670F3"/>
    <w:rsid w:val="18BE4B85"/>
    <w:rsid w:val="19111BDB"/>
    <w:rsid w:val="19FF7423"/>
    <w:rsid w:val="1B015705"/>
    <w:rsid w:val="1B275FAF"/>
    <w:rsid w:val="1BCF2BD3"/>
    <w:rsid w:val="1CF21ED3"/>
    <w:rsid w:val="1DBA708E"/>
    <w:rsid w:val="1DF419C0"/>
    <w:rsid w:val="1DF9168F"/>
    <w:rsid w:val="1E3013B8"/>
    <w:rsid w:val="1EBA1D5F"/>
    <w:rsid w:val="1F503C83"/>
    <w:rsid w:val="1F5E298E"/>
    <w:rsid w:val="1F9869EE"/>
    <w:rsid w:val="20246A40"/>
    <w:rsid w:val="203A34EE"/>
    <w:rsid w:val="20A02749"/>
    <w:rsid w:val="21551130"/>
    <w:rsid w:val="22FE6A98"/>
    <w:rsid w:val="23E8097F"/>
    <w:rsid w:val="24C17FA3"/>
    <w:rsid w:val="25393E1E"/>
    <w:rsid w:val="25D0370E"/>
    <w:rsid w:val="26B67090"/>
    <w:rsid w:val="26E83612"/>
    <w:rsid w:val="27FB295F"/>
    <w:rsid w:val="285C6DD2"/>
    <w:rsid w:val="28986809"/>
    <w:rsid w:val="291B019A"/>
    <w:rsid w:val="29525B79"/>
    <w:rsid w:val="295462DB"/>
    <w:rsid w:val="29601889"/>
    <w:rsid w:val="2AA62697"/>
    <w:rsid w:val="2AD50268"/>
    <w:rsid w:val="2B6E2F55"/>
    <w:rsid w:val="2C237426"/>
    <w:rsid w:val="2C493E43"/>
    <w:rsid w:val="2D5936C8"/>
    <w:rsid w:val="2DAF6081"/>
    <w:rsid w:val="2E187FA2"/>
    <w:rsid w:val="2E4318C3"/>
    <w:rsid w:val="2EF351AC"/>
    <w:rsid w:val="2F5D4702"/>
    <w:rsid w:val="30090AA3"/>
    <w:rsid w:val="30FF56BF"/>
    <w:rsid w:val="32CC2F10"/>
    <w:rsid w:val="337F4C42"/>
    <w:rsid w:val="33D12C19"/>
    <w:rsid w:val="38ED7AB2"/>
    <w:rsid w:val="38FC6BB1"/>
    <w:rsid w:val="390E5BDB"/>
    <w:rsid w:val="39EF1E39"/>
    <w:rsid w:val="3ACE602C"/>
    <w:rsid w:val="3C112ECE"/>
    <w:rsid w:val="3E406BA2"/>
    <w:rsid w:val="3F6879B2"/>
    <w:rsid w:val="3FF955F7"/>
    <w:rsid w:val="40B80A9E"/>
    <w:rsid w:val="40BA3EA5"/>
    <w:rsid w:val="41036908"/>
    <w:rsid w:val="41A24BAF"/>
    <w:rsid w:val="426A3635"/>
    <w:rsid w:val="42EE0F7A"/>
    <w:rsid w:val="43071CE7"/>
    <w:rsid w:val="450C458D"/>
    <w:rsid w:val="45D21FA5"/>
    <w:rsid w:val="472A4AAF"/>
    <w:rsid w:val="48461E9D"/>
    <w:rsid w:val="48A32765"/>
    <w:rsid w:val="49972A51"/>
    <w:rsid w:val="4A610F6B"/>
    <w:rsid w:val="4A7D1CC5"/>
    <w:rsid w:val="4B244D0E"/>
    <w:rsid w:val="4B8E4968"/>
    <w:rsid w:val="4C792077"/>
    <w:rsid w:val="4D6A0E1A"/>
    <w:rsid w:val="4DBF3F87"/>
    <w:rsid w:val="4DFC456A"/>
    <w:rsid w:val="4E215320"/>
    <w:rsid w:val="4E2701D4"/>
    <w:rsid w:val="4EAF5887"/>
    <w:rsid w:val="503A3430"/>
    <w:rsid w:val="508534DA"/>
    <w:rsid w:val="5274399F"/>
    <w:rsid w:val="53423021"/>
    <w:rsid w:val="53533924"/>
    <w:rsid w:val="53B12F14"/>
    <w:rsid w:val="53BE0479"/>
    <w:rsid w:val="53CB1482"/>
    <w:rsid w:val="53D3739D"/>
    <w:rsid w:val="54386F63"/>
    <w:rsid w:val="547E6CA6"/>
    <w:rsid w:val="54DB37B0"/>
    <w:rsid w:val="550476E8"/>
    <w:rsid w:val="553251AD"/>
    <w:rsid w:val="55FE19F5"/>
    <w:rsid w:val="57322E1D"/>
    <w:rsid w:val="588B1C24"/>
    <w:rsid w:val="58970BEF"/>
    <w:rsid w:val="593B228F"/>
    <w:rsid w:val="595222CF"/>
    <w:rsid w:val="595A24A2"/>
    <w:rsid w:val="59F75B98"/>
    <w:rsid w:val="5A9E7156"/>
    <w:rsid w:val="5C18189D"/>
    <w:rsid w:val="5E5C7397"/>
    <w:rsid w:val="5ED0224C"/>
    <w:rsid w:val="5EDA6164"/>
    <w:rsid w:val="5F6F5F34"/>
    <w:rsid w:val="5FF312BF"/>
    <w:rsid w:val="600467DE"/>
    <w:rsid w:val="6058160C"/>
    <w:rsid w:val="616B748C"/>
    <w:rsid w:val="61AE6CFA"/>
    <w:rsid w:val="61B4589F"/>
    <w:rsid w:val="61C72CEC"/>
    <w:rsid w:val="62DC6CDC"/>
    <w:rsid w:val="6396140C"/>
    <w:rsid w:val="63DC0D85"/>
    <w:rsid w:val="64162105"/>
    <w:rsid w:val="64F458C8"/>
    <w:rsid w:val="663D74EF"/>
    <w:rsid w:val="68FF4134"/>
    <w:rsid w:val="69D83353"/>
    <w:rsid w:val="69D979BA"/>
    <w:rsid w:val="69E32601"/>
    <w:rsid w:val="6A78249B"/>
    <w:rsid w:val="6ADE04F7"/>
    <w:rsid w:val="6B335373"/>
    <w:rsid w:val="6B4D67DF"/>
    <w:rsid w:val="6B956A0B"/>
    <w:rsid w:val="6C4572DE"/>
    <w:rsid w:val="6CAE22C0"/>
    <w:rsid w:val="6D3263F4"/>
    <w:rsid w:val="6EC53E99"/>
    <w:rsid w:val="6ED85FBD"/>
    <w:rsid w:val="6F4000E3"/>
    <w:rsid w:val="70893DBE"/>
    <w:rsid w:val="70FD693E"/>
    <w:rsid w:val="71101750"/>
    <w:rsid w:val="721B5B6F"/>
    <w:rsid w:val="72377856"/>
    <w:rsid w:val="738610D9"/>
    <w:rsid w:val="73A40EEA"/>
    <w:rsid w:val="73E45F58"/>
    <w:rsid w:val="740848BC"/>
    <w:rsid w:val="74091C8D"/>
    <w:rsid w:val="741831D5"/>
    <w:rsid w:val="742562A7"/>
    <w:rsid w:val="753F65E4"/>
    <w:rsid w:val="75654E29"/>
    <w:rsid w:val="759053FD"/>
    <w:rsid w:val="77264052"/>
    <w:rsid w:val="779E274D"/>
    <w:rsid w:val="78B1676E"/>
    <w:rsid w:val="794F7635"/>
    <w:rsid w:val="79BE2C23"/>
    <w:rsid w:val="7A495072"/>
    <w:rsid w:val="7A4D2B83"/>
    <w:rsid w:val="7B2A7734"/>
    <w:rsid w:val="7B3B0DB0"/>
    <w:rsid w:val="7BD47492"/>
    <w:rsid w:val="7C85147F"/>
    <w:rsid w:val="7CC12DAF"/>
    <w:rsid w:val="7CF00FEC"/>
    <w:rsid w:val="7CF210CA"/>
    <w:rsid w:val="7D596964"/>
    <w:rsid w:val="7DA666D6"/>
    <w:rsid w:val="7FDF092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0" w:semiHidden="0" w:name="toc 1" w:locked="1"/>
    <w:lsdException w:uiPriority="0" w:semiHidden="0" w:name="toc 2" w:locked="1"/>
    <w:lsdException w:uiPriority="0" w:semiHidden="0" w:name="toc 3" w:locked="1"/>
    <w:lsdException w:uiPriority="0" w:semiHidden="0" w:name="toc 4" w:locked="1"/>
    <w:lsdException w:uiPriority="0" w:semiHidden="0" w:name="toc 5" w:locked="1"/>
    <w:lsdException w:uiPriority="0" w:semiHidden="0" w:name="toc 6" w:locked="1"/>
    <w:lsdException w:uiPriority="0" w:semiHidden="0" w:name="toc 7" w:locked="1"/>
    <w:lsdException w:uiPriority="0" w:semiHidden="0" w:name="toc 8" w:locked="1"/>
    <w:lsdException w:uiPriority="0" w:semiHidden="0" w:name="toc 9" w:locked="1"/>
    <w:lsdException w:qFormat="1" w:unhideWhenUsed="0" w:uiPriority="99" w:semiHidden="0"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qFormat/>
    <w:locked/>
    <w:uiPriority w:val="99"/>
    <w:pPr>
      <w:keepNext/>
      <w:keepLines/>
      <w:tabs>
        <w:tab w:val="left" w:pos="1134"/>
        <w:tab w:val="left" w:pos="1307"/>
      </w:tabs>
      <w:spacing w:before="100" w:after="100" w:line="500" w:lineRule="exact"/>
      <w:jc w:val="left"/>
      <w:outlineLvl w:val="2"/>
    </w:pPr>
    <w:rPr>
      <w:b/>
      <w:bCs/>
      <w:kern w:val="0"/>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firstLineChars="200"/>
    </w:pPr>
    <w:rPr>
      <w:rFonts w:ascii="Times New Roman" w:hAnsi="Times New Roman" w:cs="Times New Roman"/>
      <w:szCs w:val="24"/>
    </w:rPr>
  </w:style>
  <w:style w:type="paragraph" w:styleId="4">
    <w:name w:val="annotation text"/>
    <w:basedOn w:val="1"/>
    <w:link w:val="14"/>
    <w:semiHidden/>
    <w:qFormat/>
    <w:uiPriority w:val="99"/>
    <w:pPr>
      <w:jc w:val="left"/>
    </w:pPr>
  </w:style>
  <w:style w:type="paragraph" w:styleId="5">
    <w:name w:val="Balloon Text"/>
    <w:basedOn w:val="1"/>
    <w:link w:val="16"/>
    <w:semiHidden/>
    <w:qFormat/>
    <w:uiPriority w:val="99"/>
    <w:rPr>
      <w:sz w:val="18"/>
      <w:szCs w:val="18"/>
    </w:rPr>
  </w:style>
  <w:style w:type="paragraph" w:styleId="6">
    <w:name w:val="footer"/>
    <w:basedOn w:val="1"/>
    <w:link w:val="17"/>
    <w:autoRedefine/>
    <w:qFormat/>
    <w:uiPriority w:val="99"/>
    <w:pPr>
      <w:tabs>
        <w:tab w:val="center" w:pos="4153"/>
        <w:tab w:val="right" w:pos="8306"/>
      </w:tabs>
      <w:snapToGrid w:val="0"/>
      <w:jc w:val="left"/>
    </w:pPr>
    <w:rPr>
      <w:sz w:val="18"/>
      <w:szCs w:val="18"/>
    </w:rPr>
  </w:style>
  <w:style w:type="paragraph" w:styleId="7">
    <w:name w:val="header"/>
    <w:basedOn w:val="1"/>
    <w:link w:val="18"/>
    <w:autoRedefine/>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5"/>
    <w:autoRedefine/>
    <w:semiHidden/>
    <w:qFormat/>
    <w:uiPriority w:val="99"/>
    <w:rPr>
      <w:b/>
      <w:bCs/>
    </w:rPr>
  </w:style>
  <w:style w:type="character" w:styleId="11">
    <w:name w:val="FollowedHyperlink"/>
    <w:autoRedefine/>
    <w:qFormat/>
    <w:uiPriority w:val="99"/>
    <w:rPr>
      <w:color w:val="800080"/>
      <w:u w:val="single"/>
    </w:rPr>
  </w:style>
  <w:style w:type="character" w:styleId="12">
    <w:name w:val="Hyperlink"/>
    <w:autoRedefine/>
    <w:qFormat/>
    <w:uiPriority w:val="99"/>
    <w:rPr>
      <w:color w:val="0000FF"/>
      <w:u w:val="single"/>
    </w:rPr>
  </w:style>
  <w:style w:type="character" w:styleId="13">
    <w:name w:val="annotation reference"/>
    <w:autoRedefine/>
    <w:semiHidden/>
    <w:qFormat/>
    <w:uiPriority w:val="99"/>
    <w:rPr>
      <w:sz w:val="21"/>
      <w:szCs w:val="21"/>
    </w:rPr>
  </w:style>
  <w:style w:type="character" w:customStyle="1" w:styleId="14">
    <w:name w:val="批注文字 Char"/>
    <w:basedOn w:val="10"/>
    <w:link w:val="4"/>
    <w:autoRedefine/>
    <w:semiHidden/>
    <w:qFormat/>
    <w:locked/>
    <w:uiPriority w:val="99"/>
  </w:style>
  <w:style w:type="character" w:customStyle="1" w:styleId="15">
    <w:name w:val="批注主题 Char"/>
    <w:link w:val="8"/>
    <w:autoRedefine/>
    <w:semiHidden/>
    <w:qFormat/>
    <w:locked/>
    <w:uiPriority w:val="99"/>
    <w:rPr>
      <w:b/>
      <w:bCs/>
    </w:rPr>
  </w:style>
  <w:style w:type="character" w:customStyle="1" w:styleId="16">
    <w:name w:val="批注框文本 Char"/>
    <w:link w:val="5"/>
    <w:autoRedefine/>
    <w:semiHidden/>
    <w:qFormat/>
    <w:locked/>
    <w:uiPriority w:val="99"/>
    <w:rPr>
      <w:sz w:val="18"/>
      <w:szCs w:val="18"/>
    </w:rPr>
  </w:style>
  <w:style w:type="character" w:customStyle="1" w:styleId="17">
    <w:name w:val="页脚 Char"/>
    <w:link w:val="6"/>
    <w:autoRedefine/>
    <w:semiHidden/>
    <w:qFormat/>
    <w:locked/>
    <w:uiPriority w:val="99"/>
    <w:rPr>
      <w:sz w:val="18"/>
      <w:szCs w:val="18"/>
    </w:rPr>
  </w:style>
  <w:style w:type="character" w:customStyle="1" w:styleId="18">
    <w:name w:val="页眉 Char"/>
    <w:link w:val="7"/>
    <w:autoRedefine/>
    <w:semiHidden/>
    <w:qFormat/>
    <w:locked/>
    <w:uiPriority w:val="99"/>
    <w:rPr>
      <w:sz w:val="18"/>
      <w:szCs w:val="18"/>
    </w:rPr>
  </w:style>
  <w:style w:type="character" w:customStyle="1" w:styleId="19">
    <w:name w:val="apple-converted-space"/>
    <w:basedOn w:val="10"/>
    <w:autoRedefine/>
    <w:qFormat/>
    <w:uiPriority w:val="99"/>
  </w:style>
  <w:style w:type="paragraph" w:customStyle="1" w:styleId="20">
    <w:name w:val="列出段落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21">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96D700-8E58-4B1F-8D4E-6944EC1BD90E}">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2</Pages>
  <Words>1410</Words>
  <Characters>1487</Characters>
  <Lines>9</Lines>
  <Paragraphs>2</Paragraphs>
  <TotalTime>41</TotalTime>
  <ScaleCrop>false</ScaleCrop>
  <LinksUpToDate>false</LinksUpToDate>
  <CharactersWithSpaces>1487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2017-04-13T02:24:00Z</dcterms:created>
  <dc:creator>吴燕媛</dc:creator>
  <cp:lastModifiedBy>谢学峰</cp:lastModifiedBy>
  <cp:lastPrinted>2026-06-12T08:11:00Z</cp:lastPrinted>
  <dcterms:modified xsi:type="dcterms:W3CDTF">2026-06-15T06:18:47Z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AC461A8F96334B7C8ED6B0B911C9A3F4_13</vt:lpwstr>
  </property>
  <property fmtid="{D5CDD505-2E9C-101B-9397-08002B2CF9AE}" pid="4" name="KSOTemplateDocerSaveRecord">
    <vt:lpwstr>eyJoZGlkIjoiMGEwMGNiNjIxOWViZDBiOGQ3Y2Y0ZWJmYzk2NDI4MTUiLCJ1c2VySWQiOiIxNTQzMzQ5MTIwIn0=</vt:lpwstr>
  </property>
</Properties>
</file>